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9AE7" w14:textId="7C7512DC" w:rsidR="002F2941" w:rsidRDefault="002F2941" w:rsidP="002F2941">
      <w:pPr>
        <w:pStyle w:val="Nadpis1"/>
        <w:spacing w:before="120" w:after="120"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bookmarkStart w:id="0" w:name="_Toc24555694"/>
      <w:r w:rsidRPr="002F2941">
        <w:rPr>
          <w:rFonts w:ascii="Times New Roman" w:hAnsi="Times New Roman"/>
          <w:b/>
          <w:bCs/>
          <w:color w:val="000000"/>
          <w:sz w:val="22"/>
          <w:szCs w:val="22"/>
        </w:rPr>
        <w:t xml:space="preserve">Příloha č. </w:t>
      </w:r>
      <w:bookmarkEnd w:id="0"/>
      <w:r w:rsidR="00A02A0A">
        <w:rPr>
          <w:rFonts w:ascii="Times New Roman" w:hAnsi="Times New Roman"/>
          <w:b/>
          <w:bCs/>
          <w:color w:val="000000"/>
          <w:sz w:val="22"/>
          <w:szCs w:val="22"/>
        </w:rPr>
        <w:t>5</w:t>
      </w:r>
    </w:p>
    <w:p w14:paraId="6FB988B7" w14:textId="1E7974EB" w:rsidR="00B67D7B" w:rsidRPr="002F2941" w:rsidRDefault="00B951F8" w:rsidP="009F7463">
      <w:pPr>
        <w:pStyle w:val="Smlouva2"/>
        <w:widowControl/>
        <w:spacing w:after="360" w:line="22" w:lineRule="atLeast"/>
        <w:rPr>
          <w:bCs/>
          <w:sz w:val="22"/>
          <w:szCs w:val="22"/>
        </w:rPr>
      </w:pPr>
      <w:r w:rsidRPr="002F2941">
        <w:rPr>
          <w:bCs/>
          <w:sz w:val="22"/>
          <w:szCs w:val="22"/>
        </w:rPr>
        <w:t>Č</w:t>
      </w:r>
      <w:r w:rsidR="00B67D7B" w:rsidRPr="002F2941">
        <w:rPr>
          <w:bCs/>
          <w:sz w:val="22"/>
          <w:szCs w:val="22"/>
        </w:rPr>
        <w:t>estné prohlášení dodavatele k neexistenci střetu zájmů nebo situace podle ust. § </w:t>
      </w:r>
      <w:r w:rsidRPr="002F2941">
        <w:rPr>
          <w:bCs/>
          <w:sz w:val="22"/>
          <w:szCs w:val="22"/>
        </w:rPr>
        <w:t>4b</w:t>
      </w:r>
      <w:r w:rsidR="00B67D7B" w:rsidRPr="002F2941">
        <w:rPr>
          <w:bCs/>
          <w:sz w:val="22"/>
          <w:szCs w:val="22"/>
        </w:rPr>
        <w:t> zákona o</w:t>
      </w:r>
      <w:r w:rsidR="00502973">
        <w:rPr>
          <w:bCs/>
          <w:sz w:val="22"/>
          <w:szCs w:val="22"/>
        </w:rPr>
        <w:t> </w:t>
      </w:r>
      <w:r w:rsidR="00B67D7B" w:rsidRPr="002F2941">
        <w:rPr>
          <w:bCs/>
          <w:sz w:val="22"/>
          <w:szCs w:val="22"/>
        </w:rPr>
        <w:t>střetu zájmů</w:t>
      </w:r>
      <w:bookmarkStart w:id="1" w:name="_heading=h.1fob9te"/>
      <w:bookmarkEnd w:id="1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2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2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376467E0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D05761" w:rsidRPr="00263CAE">
        <w:rPr>
          <w:b/>
          <w:sz w:val="22"/>
          <w:szCs w:val="22"/>
        </w:rPr>
        <w:t>„</w:t>
      </w:r>
      <w:r w:rsidR="005C74BE" w:rsidRPr="005C74BE">
        <w:rPr>
          <w:b/>
          <w:bCs/>
          <w:sz w:val="22"/>
          <w:szCs w:val="22"/>
        </w:rPr>
        <w:t xml:space="preserve">Obnova odpočinkové zóny s fontánou Prameník na sídlišti </w:t>
      </w:r>
      <w:r w:rsidR="00502973" w:rsidRPr="005C74BE">
        <w:rPr>
          <w:b/>
          <w:bCs/>
          <w:sz w:val="22"/>
          <w:szCs w:val="22"/>
        </w:rPr>
        <w:t>Ďáblice – vyhotovení</w:t>
      </w:r>
      <w:r w:rsidR="005C74BE" w:rsidRPr="005C74BE">
        <w:rPr>
          <w:b/>
          <w:bCs/>
          <w:sz w:val="22"/>
          <w:szCs w:val="22"/>
        </w:rPr>
        <w:t xml:space="preserve"> projektové dokumentace</w:t>
      </w:r>
      <w:r w:rsidR="00D05761" w:rsidRPr="00263CAE">
        <w:rPr>
          <w:b/>
          <w:sz w:val="22"/>
          <w:szCs w:val="22"/>
        </w:rPr>
        <w:t>“</w:t>
      </w:r>
      <w:r w:rsidR="00D05761" w:rsidRPr="00263CAE">
        <w:rPr>
          <w:bCs/>
          <w:sz w:val="22"/>
          <w:szCs w:val="22"/>
        </w:rPr>
        <w:t xml:space="preserve">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31C76528" w14:textId="77777777" w:rsidR="00717B85" w:rsidRDefault="00717B85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4A622237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76F4CC6D" w14:textId="11BE617D" w:rsidR="000D48E4" w:rsidRPr="00394805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</w:rPr>
      </w:pPr>
      <w:r w:rsidRPr="00394805">
        <w:rPr>
          <w:bCs/>
          <w:sz w:val="22"/>
          <w:szCs w:val="22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 w:rsidRPr="00394805">
        <w:rPr>
          <w:bCs/>
          <w:sz w:val="22"/>
          <w:szCs w:val="22"/>
        </w:rPr>
        <w:t> </w:t>
      </w:r>
      <w:r w:rsidRPr="00394805">
        <w:rPr>
          <w:bCs/>
          <w:sz w:val="22"/>
          <w:szCs w:val="22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527AE9C5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744390" w:rsidRPr="00263CAE">
        <w:rPr>
          <w:b/>
          <w:sz w:val="22"/>
          <w:szCs w:val="22"/>
        </w:rPr>
        <w:t>„</w:t>
      </w:r>
      <w:r w:rsidR="005C74BE" w:rsidRPr="005C74BE">
        <w:rPr>
          <w:b/>
          <w:bCs/>
          <w:sz w:val="22"/>
          <w:szCs w:val="22"/>
        </w:rPr>
        <w:t xml:space="preserve">Obnova odpočinkové zóny s fontánou Prameník na sídlišti </w:t>
      </w:r>
      <w:r w:rsidR="00502973" w:rsidRPr="005C74BE">
        <w:rPr>
          <w:b/>
          <w:bCs/>
          <w:sz w:val="22"/>
          <w:szCs w:val="22"/>
        </w:rPr>
        <w:t>Ďáblice – vyhotovení</w:t>
      </w:r>
      <w:r w:rsidR="005C74BE" w:rsidRPr="005C74BE">
        <w:rPr>
          <w:b/>
          <w:bCs/>
          <w:sz w:val="22"/>
          <w:szCs w:val="22"/>
        </w:rPr>
        <w:t xml:space="preserve"> projektové dokumentace</w:t>
      </w:r>
      <w:r w:rsidR="00744390" w:rsidRPr="00263CAE">
        <w:rPr>
          <w:b/>
          <w:sz w:val="22"/>
          <w:szCs w:val="22"/>
        </w:rPr>
        <w:t xml:space="preserve">“ </w:t>
      </w:r>
      <w:r w:rsidR="00744390" w:rsidRPr="00263CAE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E7A8" w14:textId="77777777" w:rsidR="002E0F60" w:rsidRDefault="002E0F60" w:rsidP="00B67D7B">
      <w:r>
        <w:separator/>
      </w:r>
    </w:p>
  </w:endnote>
  <w:endnote w:type="continuationSeparator" w:id="0">
    <w:p w14:paraId="30A9FB67" w14:textId="77777777" w:rsidR="002E0F60" w:rsidRDefault="002E0F60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1B82" w14:textId="77777777" w:rsidR="002E0F60" w:rsidRDefault="002E0F60" w:rsidP="00B67D7B">
      <w:r>
        <w:separator/>
      </w:r>
    </w:p>
  </w:footnote>
  <w:footnote w:type="continuationSeparator" w:id="0">
    <w:p w14:paraId="5F383AD8" w14:textId="77777777" w:rsidR="002E0F60" w:rsidRDefault="002E0F60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87C82"/>
    <w:rsid w:val="000D48E4"/>
    <w:rsid w:val="00104B5C"/>
    <w:rsid w:val="001D06F0"/>
    <w:rsid w:val="00254E93"/>
    <w:rsid w:val="00263CAE"/>
    <w:rsid w:val="00290C3B"/>
    <w:rsid w:val="002E0F60"/>
    <w:rsid w:val="002F2941"/>
    <w:rsid w:val="002F7C47"/>
    <w:rsid w:val="00394805"/>
    <w:rsid w:val="004212CF"/>
    <w:rsid w:val="004840D8"/>
    <w:rsid w:val="00502973"/>
    <w:rsid w:val="00542641"/>
    <w:rsid w:val="005C74BE"/>
    <w:rsid w:val="006B2696"/>
    <w:rsid w:val="00704DAD"/>
    <w:rsid w:val="00717B85"/>
    <w:rsid w:val="00744390"/>
    <w:rsid w:val="0084751E"/>
    <w:rsid w:val="008B5187"/>
    <w:rsid w:val="008F312B"/>
    <w:rsid w:val="00950B43"/>
    <w:rsid w:val="00972F23"/>
    <w:rsid w:val="009770C7"/>
    <w:rsid w:val="00987DAC"/>
    <w:rsid w:val="009F7463"/>
    <w:rsid w:val="00A02A0A"/>
    <w:rsid w:val="00A55C4C"/>
    <w:rsid w:val="00A758C6"/>
    <w:rsid w:val="00AB06A1"/>
    <w:rsid w:val="00AD7E25"/>
    <w:rsid w:val="00AE054D"/>
    <w:rsid w:val="00B224C3"/>
    <w:rsid w:val="00B55681"/>
    <w:rsid w:val="00B67D7B"/>
    <w:rsid w:val="00B70708"/>
    <w:rsid w:val="00B951F8"/>
    <w:rsid w:val="00C046DF"/>
    <w:rsid w:val="00C04FF8"/>
    <w:rsid w:val="00C2304D"/>
    <w:rsid w:val="00C95A87"/>
    <w:rsid w:val="00D05761"/>
    <w:rsid w:val="00D64FBC"/>
    <w:rsid w:val="00D817BF"/>
    <w:rsid w:val="00D8584B"/>
    <w:rsid w:val="00E14D0A"/>
    <w:rsid w:val="00EA59AF"/>
    <w:rsid w:val="00F01141"/>
    <w:rsid w:val="00F16F7D"/>
    <w:rsid w:val="00F3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F29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F29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Bronerská Kristína (P8)</cp:lastModifiedBy>
  <cp:revision>2</cp:revision>
  <cp:lastPrinted>2025-12-15T12:48:00Z</cp:lastPrinted>
  <dcterms:created xsi:type="dcterms:W3CDTF">2025-12-15T12:48:00Z</dcterms:created>
  <dcterms:modified xsi:type="dcterms:W3CDTF">2025-12-15T12:48:00Z</dcterms:modified>
</cp:coreProperties>
</file>