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7C7F" w14:textId="7881A36A" w:rsidR="000B6A3C" w:rsidRDefault="000B6A3C" w:rsidP="000B6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RÁMCOVÁ SMLOUVA</w:t>
      </w:r>
    </w:p>
    <w:p w14:paraId="6617FBE9" w14:textId="77777777" w:rsidR="000B6A3C" w:rsidRDefault="000B6A3C" w:rsidP="000B6A3C">
      <w:pPr>
        <w:jc w:val="center"/>
        <w:rPr>
          <w:i/>
        </w:rPr>
      </w:pPr>
      <w:r>
        <w:rPr>
          <w:i/>
        </w:rPr>
        <w:t xml:space="preserve">uzavřená ve smyslu § 1746 odst. 2 zákona č. 89/2012 Sb., občanský zákoník, </w:t>
      </w:r>
      <w:r w:rsidR="009213F8">
        <w:rPr>
          <w:i/>
        </w:rPr>
        <w:t>ve znění pozdějších předpisů</w:t>
      </w:r>
      <w:r>
        <w:rPr>
          <w:i/>
        </w:rPr>
        <w:t xml:space="preserve"> (dále jen „</w:t>
      </w:r>
      <w:r>
        <w:rPr>
          <w:b/>
          <w:i/>
        </w:rPr>
        <w:t>občanský zákoník</w:t>
      </w:r>
      <w:r>
        <w:rPr>
          <w:i/>
        </w:rPr>
        <w:t xml:space="preserve">“) </w:t>
      </w:r>
    </w:p>
    <w:p w14:paraId="41280983" w14:textId="77777777" w:rsidR="000B6A3C" w:rsidRDefault="000B6A3C" w:rsidP="000B6A3C">
      <w:pPr>
        <w:spacing w:after="0" w:line="240" w:lineRule="auto"/>
        <w:rPr>
          <w:rFonts w:cs="Arial"/>
        </w:rPr>
      </w:pPr>
      <w:r>
        <w:rPr>
          <w:rFonts w:cs="Arial"/>
        </w:rPr>
        <w:t>Níže uvedeného dne, měsíce a roku uzavřeli:</w:t>
      </w:r>
    </w:p>
    <w:p w14:paraId="3801C7B3" w14:textId="77777777" w:rsidR="000B6A3C" w:rsidRDefault="000B6A3C" w:rsidP="000B6A3C">
      <w:pPr>
        <w:spacing w:after="0" w:line="240" w:lineRule="auto"/>
        <w:rPr>
          <w:rFonts w:cs="Arial"/>
        </w:rPr>
      </w:pPr>
    </w:p>
    <w:p w14:paraId="3756E117" w14:textId="77777777" w:rsidR="000B6A3C" w:rsidRDefault="000B6A3C" w:rsidP="000B6A3C">
      <w:pPr>
        <w:pStyle w:val="Nadpis1"/>
        <w:spacing w:after="0"/>
        <w:ind w:right="5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1.</w:t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>Městská část Praha 8</w:t>
      </w:r>
    </w:p>
    <w:p w14:paraId="1B05F8A3" w14:textId="1EE12D56" w:rsidR="000B6A3C" w:rsidRDefault="000B6A3C" w:rsidP="000B6A3C">
      <w:pPr>
        <w:spacing w:after="0" w:line="240" w:lineRule="auto"/>
        <w:ind w:right="566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  <w:t xml:space="preserve">Zenklova 1/35, Praha 8 – Libeň, PSČ 180 </w:t>
      </w:r>
      <w:r w:rsidR="00B71458">
        <w:rPr>
          <w:rFonts w:cs="Arial"/>
        </w:rPr>
        <w:t>00</w:t>
      </w:r>
      <w:r>
        <w:rPr>
          <w:rFonts w:cs="Arial"/>
        </w:rPr>
        <w:t xml:space="preserve"> </w:t>
      </w:r>
    </w:p>
    <w:p w14:paraId="4F20516B" w14:textId="77777777" w:rsidR="000B6A3C" w:rsidRDefault="000B6A3C" w:rsidP="000B6A3C">
      <w:pPr>
        <w:spacing w:after="0" w:line="240" w:lineRule="auto"/>
        <w:ind w:right="566"/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00063797</w:t>
      </w:r>
    </w:p>
    <w:p w14:paraId="25E0454C" w14:textId="77777777" w:rsidR="000B6A3C" w:rsidRDefault="000B6A3C" w:rsidP="000B6A3C">
      <w:pPr>
        <w:spacing w:after="0" w:line="240" w:lineRule="auto"/>
        <w:ind w:right="566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>CZ</w:t>
      </w:r>
      <w:r>
        <w:t>00063797</w:t>
      </w:r>
    </w:p>
    <w:p w14:paraId="27CF3CC4" w14:textId="3977C90C" w:rsidR="000B6A3C" w:rsidRDefault="000B6A3C" w:rsidP="00C6134C">
      <w:pPr>
        <w:spacing w:after="0"/>
        <w:jc w:val="both"/>
        <w:rPr>
          <w:rFonts w:cs="Arial"/>
        </w:rPr>
      </w:pPr>
      <w:r>
        <w:rPr>
          <w:rFonts w:cs="Arial"/>
        </w:rPr>
        <w:t>zastoupena:</w:t>
      </w:r>
      <w:r>
        <w:rPr>
          <w:rFonts w:cs="Arial"/>
        </w:rPr>
        <w:tab/>
      </w:r>
      <w:r>
        <w:rPr>
          <w:rFonts w:cs="Arial"/>
        </w:rPr>
        <w:tab/>
      </w:r>
      <w:r w:rsidR="00B16D5D">
        <w:t>Mgr. Tomášem Tatranským</w:t>
      </w:r>
      <w:r w:rsidR="00794009">
        <w:t xml:space="preserve">, </w:t>
      </w:r>
      <w:r w:rsidR="00B16D5D">
        <w:t>místo</w:t>
      </w:r>
      <w:r w:rsidR="00794009">
        <w:t>starostou</w:t>
      </w:r>
    </w:p>
    <w:p w14:paraId="03E527AA" w14:textId="35FCFB51" w:rsidR="00781240" w:rsidRDefault="00781240" w:rsidP="00781240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r>
        <w:t>Česká spořitelna, a.s.</w:t>
      </w:r>
    </w:p>
    <w:p w14:paraId="092F66B3" w14:textId="31904DF6" w:rsidR="00781240" w:rsidRDefault="00781240" w:rsidP="00781240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č. účtu: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D0F8C">
        <w:rPr>
          <w:rFonts w:eastAsia="Arial"/>
          <w:szCs w:val="24"/>
          <w:shd w:val="clear" w:color="auto" w:fill="FFFFFF"/>
          <w:lang w:val="fr-LU"/>
        </w:rPr>
        <w:t>2000881329/0800</w:t>
      </w:r>
    </w:p>
    <w:p w14:paraId="545B01F8" w14:textId="3348C1BB" w:rsidR="000B6A3C" w:rsidRDefault="000B6A3C" w:rsidP="000B6A3C">
      <w:pPr>
        <w:spacing w:after="0" w:line="240" w:lineRule="auto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</w:rPr>
        <w:t>objednatel</w:t>
      </w:r>
      <w:r>
        <w:rPr>
          <w:rFonts w:cs="Arial"/>
        </w:rPr>
        <w:t>“ na straně jedné)</w:t>
      </w:r>
    </w:p>
    <w:p w14:paraId="42676DF8" w14:textId="77777777" w:rsidR="000B6A3C" w:rsidRDefault="000B6A3C" w:rsidP="000B6A3C">
      <w:pPr>
        <w:spacing w:after="0" w:line="240" w:lineRule="auto"/>
        <w:rPr>
          <w:rFonts w:cs="Arial"/>
        </w:rPr>
      </w:pPr>
    </w:p>
    <w:p w14:paraId="14F2ABFF" w14:textId="77777777" w:rsidR="000B6A3C" w:rsidRDefault="000B6A3C" w:rsidP="000B6A3C">
      <w:pPr>
        <w:spacing w:after="0" w:line="240" w:lineRule="auto"/>
        <w:rPr>
          <w:rFonts w:cs="Arial"/>
        </w:rPr>
      </w:pPr>
      <w:r>
        <w:rPr>
          <w:rFonts w:cs="Arial"/>
        </w:rPr>
        <w:t>a</w:t>
      </w:r>
    </w:p>
    <w:p w14:paraId="3CBD1481" w14:textId="77777777" w:rsidR="000B6A3C" w:rsidRDefault="000B6A3C" w:rsidP="000B6A3C">
      <w:pPr>
        <w:spacing w:after="0" w:line="240" w:lineRule="auto"/>
        <w:ind w:left="567" w:hanging="567"/>
        <w:rPr>
          <w:rFonts w:cs="Arial"/>
          <w:b/>
        </w:rPr>
      </w:pPr>
    </w:p>
    <w:p w14:paraId="3CC85B8D" w14:textId="77777777" w:rsidR="000B6A3C" w:rsidRDefault="000B6A3C" w:rsidP="000B6A3C">
      <w:pPr>
        <w:spacing w:after="0" w:line="240" w:lineRule="auto"/>
        <w:ind w:left="567" w:hanging="567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331CF3">
        <w:rPr>
          <w:rStyle w:val="preformatted"/>
          <w:b/>
        </w:rPr>
        <w:t>…………………………………</w:t>
      </w:r>
    </w:p>
    <w:p w14:paraId="6D6CFD06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="00331CF3">
        <w:t>……………………………………………………</w:t>
      </w:r>
      <w:r w:rsidR="005A3D41">
        <w:t xml:space="preserve"> </w:t>
      </w:r>
    </w:p>
    <w:p w14:paraId="0933AFFE" w14:textId="77777777" w:rsidR="00331CF3" w:rsidRDefault="00331CF3" w:rsidP="00331CF3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IČO: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……………………………………………………</w:t>
      </w:r>
    </w:p>
    <w:p w14:paraId="1EF34A77" w14:textId="77777777" w:rsidR="00331CF3" w:rsidRDefault="00331CF3" w:rsidP="00331CF3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……………………………………………………</w:t>
      </w:r>
    </w:p>
    <w:p w14:paraId="767C6AA1" w14:textId="77777777" w:rsidR="00331CF3" w:rsidRDefault="00331CF3" w:rsidP="00331CF3">
      <w:pPr>
        <w:spacing w:after="0" w:line="240" w:lineRule="auto"/>
        <w:ind w:left="567" w:hanging="567"/>
        <w:rPr>
          <w:rFonts w:ascii="Calibri" w:hAnsi="Calibri" w:cs="Arial"/>
        </w:rPr>
      </w:pPr>
      <w:r>
        <w:rPr>
          <w:rFonts w:cs="Arial"/>
        </w:rPr>
        <w:t xml:space="preserve">zastoupena: </w:t>
      </w:r>
      <w:r>
        <w:rPr>
          <w:rFonts w:cs="Arial"/>
        </w:rPr>
        <w:tab/>
      </w:r>
      <w:r>
        <w:rPr>
          <w:rFonts w:cs="Arial"/>
        </w:rPr>
        <w:tab/>
      </w:r>
      <w:r>
        <w:t>……………………………………………………</w:t>
      </w:r>
    </w:p>
    <w:p w14:paraId="1E13938F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r w:rsidR="00331CF3">
        <w:t>……………………………………………………</w:t>
      </w:r>
    </w:p>
    <w:p w14:paraId="70108C2B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č. účtu: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31CF3">
        <w:t>……………………………………………………</w:t>
      </w:r>
    </w:p>
    <w:p w14:paraId="45DE48CE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zapsaný v obchodním rejstříku vedeném </w:t>
      </w:r>
      <w:r w:rsidR="00331CF3">
        <w:t>…………………………………………………</w:t>
      </w:r>
      <w:r>
        <w:rPr>
          <w:rFonts w:ascii="Calibri" w:hAnsi="Calibri" w:cs="Arial"/>
        </w:rPr>
        <w:t xml:space="preserve">, </w:t>
      </w:r>
      <w:r w:rsidR="00331CF3">
        <w:rPr>
          <w:rFonts w:cs="Arial"/>
        </w:rPr>
        <w:t xml:space="preserve">sp. zn. </w:t>
      </w:r>
      <w:r w:rsidR="00331CF3">
        <w:t>………………………</w:t>
      </w:r>
    </w:p>
    <w:p w14:paraId="7B9BD1FC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>(dále jen „</w:t>
      </w:r>
      <w:r w:rsidR="00EF234F">
        <w:rPr>
          <w:rFonts w:cs="Arial"/>
          <w:b/>
        </w:rPr>
        <w:t>poskytovatel</w:t>
      </w:r>
      <w:r>
        <w:rPr>
          <w:rFonts w:cs="Arial"/>
        </w:rPr>
        <w:t>“ na straně druhé)</w:t>
      </w:r>
    </w:p>
    <w:p w14:paraId="23D3B7DF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</w:p>
    <w:p w14:paraId="0C419B4A" w14:textId="77777777" w:rsidR="000B6A3C" w:rsidRDefault="000B6A3C" w:rsidP="000B6A3C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(objednatel a </w:t>
      </w:r>
      <w:r w:rsidR="00EF234F">
        <w:rPr>
          <w:rFonts w:cs="Arial"/>
        </w:rPr>
        <w:t>poskytovatel</w:t>
      </w:r>
      <w:r>
        <w:rPr>
          <w:rFonts w:cs="Arial"/>
        </w:rPr>
        <w:t xml:space="preserve"> dále též označováni jako „</w:t>
      </w:r>
      <w:r>
        <w:rPr>
          <w:rFonts w:cs="Arial"/>
          <w:b/>
        </w:rPr>
        <w:t>smluvní strany</w:t>
      </w:r>
      <w:r>
        <w:rPr>
          <w:rFonts w:cs="Arial"/>
        </w:rPr>
        <w:t>")</w:t>
      </w:r>
    </w:p>
    <w:p w14:paraId="4BEF1EFA" w14:textId="77777777" w:rsidR="000B6A3C" w:rsidRDefault="000B6A3C" w:rsidP="000B6A3C">
      <w:pPr>
        <w:spacing w:after="0" w:line="240" w:lineRule="auto"/>
        <w:ind w:left="567" w:hanging="567"/>
        <w:jc w:val="both"/>
      </w:pPr>
    </w:p>
    <w:p w14:paraId="2F844665" w14:textId="1D66E963" w:rsidR="000B6A3C" w:rsidRPr="00F91829" w:rsidRDefault="00EF234F" w:rsidP="00EF234F">
      <w:pPr>
        <w:jc w:val="both"/>
        <w:rPr>
          <w:b/>
        </w:rPr>
      </w:pPr>
      <w:r>
        <w:t>na základě výsledku zadávacího</w:t>
      </w:r>
      <w:r w:rsidR="000B6A3C">
        <w:t xml:space="preserve"> řízení k plnění veřejné zakázky s </w:t>
      </w:r>
      <w:r w:rsidR="000B6A3C" w:rsidRPr="00F91829">
        <w:t xml:space="preserve">názvem </w:t>
      </w:r>
      <w:r w:rsidR="000B6A3C" w:rsidRPr="00F91829">
        <w:rPr>
          <w:b/>
        </w:rPr>
        <w:t>„</w:t>
      </w:r>
      <w:r w:rsidR="005E3EFE" w:rsidRPr="00F91829">
        <w:rPr>
          <w:b/>
        </w:rPr>
        <w:t xml:space="preserve">Zajištění slušného pohřbení </w:t>
      </w:r>
      <w:r w:rsidR="00557EC5">
        <w:rPr>
          <w:b/>
        </w:rPr>
        <w:t>–</w:t>
      </w:r>
      <w:r w:rsidR="00361B4A">
        <w:rPr>
          <w:b/>
        </w:rPr>
        <w:t xml:space="preserve"> </w:t>
      </w:r>
      <w:r w:rsidR="00557EC5" w:rsidRPr="00F91829">
        <w:rPr>
          <w:b/>
        </w:rPr>
        <w:t>sociální pohřb</w:t>
      </w:r>
      <w:r w:rsidR="00557EC5">
        <w:rPr>
          <w:b/>
        </w:rPr>
        <w:t>y</w:t>
      </w:r>
      <w:r w:rsidR="00557EC5" w:rsidRPr="00F91829">
        <w:rPr>
          <w:b/>
        </w:rPr>
        <w:t xml:space="preserve">“ </w:t>
      </w:r>
      <w:r w:rsidR="000B6A3C" w:rsidRPr="00F91829">
        <w:t xml:space="preserve">tuto </w:t>
      </w:r>
      <w:r w:rsidRPr="00F91829">
        <w:t>r</w:t>
      </w:r>
      <w:r w:rsidR="000B6A3C" w:rsidRPr="00F91829">
        <w:t>ámcovou smlouvu</w:t>
      </w:r>
      <w:r w:rsidRPr="00F91829">
        <w:t>:</w:t>
      </w:r>
    </w:p>
    <w:p w14:paraId="008D67EA" w14:textId="77777777" w:rsidR="000B6A3C" w:rsidRPr="00F91829" w:rsidRDefault="000B6A3C" w:rsidP="000B6A3C">
      <w:pPr>
        <w:jc w:val="center"/>
        <w:rPr>
          <w:b/>
        </w:rPr>
      </w:pPr>
      <w:r w:rsidRPr="00F91829">
        <w:rPr>
          <w:b/>
        </w:rPr>
        <w:t>Preambule</w:t>
      </w:r>
    </w:p>
    <w:p w14:paraId="4BD8199B" w14:textId="0CDE0D69" w:rsidR="000B6A3C" w:rsidRDefault="000B6A3C" w:rsidP="000B6A3C">
      <w:pPr>
        <w:jc w:val="both"/>
        <w:rPr>
          <w:b/>
        </w:rPr>
      </w:pPr>
      <w:r w:rsidRPr="00F91829">
        <w:t xml:space="preserve">Tato smlouva je uzavírána se </w:t>
      </w:r>
      <w:r w:rsidR="00EF234F" w:rsidRPr="00F91829">
        <w:t>poskytovatel</w:t>
      </w:r>
      <w:r w:rsidRPr="00F91829">
        <w:t xml:space="preserve">em jako vítězným dodavatelem veřejné zakázky malého rozsahu s názvem </w:t>
      </w:r>
      <w:r w:rsidRPr="00F91829">
        <w:rPr>
          <w:b/>
        </w:rPr>
        <w:t>„</w:t>
      </w:r>
      <w:r w:rsidR="005E3EFE" w:rsidRPr="00F91829">
        <w:rPr>
          <w:b/>
        </w:rPr>
        <w:t>Zajištění slušného pohřbení</w:t>
      </w:r>
      <w:r w:rsidR="00557EC5">
        <w:rPr>
          <w:b/>
        </w:rPr>
        <w:t xml:space="preserve"> –</w:t>
      </w:r>
      <w:r w:rsidR="00361B4A">
        <w:rPr>
          <w:b/>
        </w:rPr>
        <w:t xml:space="preserve"> </w:t>
      </w:r>
      <w:r w:rsidR="005E3EFE" w:rsidRPr="00F91829">
        <w:rPr>
          <w:b/>
        </w:rPr>
        <w:t>sociální pohřb</w:t>
      </w:r>
      <w:r w:rsidR="00557EC5">
        <w:rPr>
          <w:b/>
        </w:rPr>
        <w:t>y</w:t>
      </w:r>
      <w:r w:rsidRPr="00F91829">
        <w:rPr>
          <w:b/>
        </w:rPr>
        <w:t>“</w:t>
      </w:r>
      <w:r w:rsidR="00EF234F" w:rsidRPr="00F91829">
        <w:rPr>
          <w:b/>
        </w:rPr>
        <w:t xml:space="preserve"> </w:t>
      </w:r>
      <w:r w:rsidR="00EF234F" w:rsidRPr="00F91829">
        <w:t>(dále jen „</w:t>
      </w:r>
      <w:r w:rsidR="00EF234F" w:rsidRPr="00F91829">
        <w:rPr>
          <w:b/>
        </w:rPr>
        <w:t>veřejná zakázka</w:t>
      </w:r>
      <w:r w:rsidR="00EF234F" w:rsidRPr="00F91829">
        <w:t>“)</w:t>
      </w:r>
      <w:r w:rsidRPr="00F91829">
        <w:t>.</w:t>
      </w:r>
      <w:r w:rsidRPr="00F91829">
        <w:rPr>
          <w:b/>
        </w:rPr>
        <w:t xml:space="preserve"> </w:t>
      </w:r>
      <w:r w:rsidRPr="00F91829">
        <w:t xml:space="preserve">Základním podkladem pro plnění dle této smlouvy je nabídka </w:t>
      </w:r>
      <w:r w:rsidR="00EF234F" w:rsidRPr="00F91829">
        <w:t>poskytovatel</w:t>
      </w:r>
      <w:r w:rsidRPr="00F91829">
        <w:t>e</w:t>
      </w:r>
      <w:r>
        <w:t xml:space="preserve"> ze dne </w:t>
      </w:r>
      <w:r w:rsidR="00EF234F">
        <w:rPr>
          <w:rFonts w:ascii="Calibri" w:hAnsi="Calibri"/>
        </w:rPr>
        <w:t>…………………</w:t>
      </w:r>
      <w:r>
        <w:rPr>
          <w:rFonts w:ascii="Calibri" w:hAnsi="Calibri" w:cs="Arial"/>
        </w:rPr>
        <w:t xml:space="preserve"> </w:t>
      </w:r>
      <w:r>
        <w:t xml:space="preserve">předložená v rámci výše uvedeného </w:t>
      </w:r>
      <w:r w:rsidR="00EF234F">
        <w:t>zadávacího</w:t>
      </w:r>
      <w:r w:rsidR="005E3EFE">
        <w:t xml:space="preserve"> řízení.</w:t>
      </w:r>
    </w:p>
    <w:p w14:paraId="3C5B1F7C" w14:textId="77777777" w:rsidR="000B6A3C" w:rsidRDefault="000B6A3C" w:rsidP="000B6A3C">
      <w:pPr>
        <w:spacing w:after="0"/>
        <w:jc w:val="center"/>
        <w:rPr>
          <w:b/>
        </w:rPr>
      </w:pPr>
      <w:r>
        <w:rPr>
          <w:b/>
        </w:rPr>
        <w:t>Článek I.</w:t>
      </w:r>
    </w:p>
    <w:p w14:paraId="0ED3A4A0" w14:textId="77777777" w:rsidR="000B6A3C" w:rsidRDefault="000B6A3C" w:rsidP="000B6A3C">
      <w:pPr>
        <w:jc w:val="center"/>
        <w:rPr>
          <w:b/>
        </w:rPr>
      </w:pPr>
      <w:r>
        <w:rPr>
          <w:b/>
        </w:rPr>
        <w:t>Předmět smlouvy</w:t>
      </w:r>
    </w:p>
    <w:p w14:paraId="685F5A06" w14:textId="045A50F1" w:rsidR="000B6A3C" w:rsidRDefault="000B6A3C" w:rsidP="000B6A3C">
      <w:pPr>
        <w:pStyle w:val="Odstavecseseznamem1"/>
        <w:numPr>
          <w:ilvl w:val="1"/>
          <w:numId w:val="1"/>
        </w:numPr>
        <w:ind w:left="567" w:hanging="567"/>
        <w:jc w:val="both"/>
      </w:pPr>
      <w:r>
        <w:t>Předmětem</w:t>
      </w:r>
      <w:r w:rsidR="00BE5A9A">
        <w:t xml:space="preserve"> této</w:t>
      </w:r>
      <w:r>
        <w:t xml:space="preserve"> smlouvy je úprava sm</w:t>
      </w:r>
      <w:r w:rsidR="00C57944">
        <w:t>luvních podmínek, za nichž bude objednatel vystavovat na poskytovatele</w:t>
      </w:r>
      <w:r>
        <w:t xml:space="preserve"> objednávky a stanovení práv a povinností smluvních stran při </w:t>
      </w:r>
      <w:r w:rsidR="00C57944">
        <w:t xml:space="preserve">vystavování </w:t>
      </w:r>
      <w:r w:rsidR="00B440D7">
        <w:t xml:space="preserve">těchto </w:t>
      </w:r>
      <w:r w:rsidR="00C57944">
        <w:t>objednávek</w:t>
      </w:r>
      <w:r>
        <w:t xml:space="preserve">. Účelem jednotlivých </w:t>
      </w:r>
      <w:r w:rsidR="00C57944">
        <w:t>objednávek</w:t>
      </w:r>
      <w:r>
        <w:t xml:space="preserve"> bude závazek </w:t>
      </w:r>
      <w:r w:rsidR="00EF234F">
        <w:t>poskytovatel</w:t>
      </w:r>
      <w:r>
        <w:t xml:space="preserve">e </w:t>
      </w:r>
      <w:r w:rsidR="00BC0CCA">
        <w:t>zajistit provedení</w:t>
      </w:r>
      <w:r w:rsidR="00C57944">
        <w:t xml:space="preserve"> </w:t>
      </w:r>
      <w:r w:rsidR="00BC0CCA">
        <w:t>v této smlouvě specifikovaných</w:t>
      </w:r>
      <w:r w:rsidR="00B913F7">
        <w:t xml:space="preserve"> </w:t>
      </w:r>
      <w:r w:rsidR="00B440D7">
        <w:t>služ</w:t>
      </w:r>
      <w:r w:rsidR="00BC0CCA">
        <w:t>e</w:t>
      </w:r>
      <w:r w:rsidR="00B440D7">
        <w:t>b</w:t>
      </w:r>
      <w:r>
        <w:t xml:space="preserve"> </w:t>
      </w:r>
      <w:r w:rsidR="00D900A5">
        <w:t>(dále jen „</w:t>
      </w:r>
      <w:r w:rsidR="00D900A5" w:rsidRPr="00D900A5">
        <w:rPr>
          <w:b/>
        </w:rPr>
        <w:t>služby</w:t>
      </w:r>
      <w:r w:rsidR="00D900A5">
        <w:t>“)</w:t>
      </w:r>
      <w:r>
        <w:t>.</w:t>
      </w:r>
    </w:p>
    <w:p w14:paraId="54A3BBD1" w14:textId="2A79952A" w:rsidR="000B6A3C" w:rsidRPr="0005280E" w:rsidRDefault="000B6A3C" w:rsidP="00215F88">
      <w:pPr>
        <w:pStyle w:val="Odstavecseseznamem1"/>
        <w:numPr>
          <w:ilvl w:val="1"/>
          <w:numId w:val="1"/>
        </w:numPr>
        <w:ind w:left="567" w:hanging="567"/>
        <w:jc w:val="both"/>
      </w:pPr>
      <w:r w:rsidRPr="0005280E">
        <w:t xml:space="preserve">Předmět </w:t>
      </w:r>
      <w:r w:rsidR="00D900A5" w:rsidRPr="0005280E">
        <w:t>této smlouvy</w:t>
      </w:r>
      <w:r w:rsidR="00F556D5">
        <w:t xml:space="preserve"> spočívá v</w:t>
      </w:r>
      <w:r w:rsidR="00215F88">
        <w:t xml:space="preserve"> </w:t>
      </w:r>
      <w:r w:rsidR="00215F88" w:rsidRPr="00215F88">
        <w:t>kompletní</w:t>
      </w:r>
      <w:r w:rsidR="00215F88">
        <w:t>m</w:t>
      </w:r>
      <w:r w:rsidR="00215F88" w:rsidRPr="00215F88">
        <w:t xml:space="preserve"> zajištění </w:t>
      </w:r>
      <w:r w:rsidR="00215F88">
        <w:t>slušného pohřbení (</w:t>
      </w:r>
      <w:r w:rsidR="00215F88" w:rsidRPr="00215F88">
        <w:t xml:space="preserve">tzv. </w:t>
      </w:r>
      <w:r w:rsidR="00215F88">
        <w:t xml:space="preserve">sociálních pohřbů) </w:t>
      </w:r>
      <w:r w:rsidR="00215F88" w:rsidRPr="00215F88">
        <w:t xml:space="preserve">v souladu s ustanovením § 5 zákona č. 256/2001 Sb., o pohřebnictví a o změně některých </w:t>
      </w:r>
      <w:r w:rsidR="00215F88" w:rsidRPr="00215F88">
        <w:lastRenderedPageBreak/>
        <w:t>zákonů, ve znění pozdějších předpisů</w:t>
      </w:r>
      <w:r w:rsidR="00215F88">
        <w:t>,</w:t>
      </w:r>
      <w:r w:rsidR="00215F88" w:rsidRPr="00215F88">
        <w:t xml:space="preserve"> a vyhláškou č. 277/2017 Sb., o postupu obce při zajištění </w:t>
      </w:r>
      <w:r w:rsidR="00215F88" w:rsidRPr="001822C3">
        <w:t>slušného pohřbení</w:t>
      </w:r>
      <w:r w:rsidR="001822C3">
        <w:t xml:space="preserve"> (dále jen </w:t>
      </w:r>
      <w:r w:rsidR="001822C3" w:rsidRPr="001822C3">
        <w:rPr>
          <w:b/>
        </w:rPr>
        <w:t>„</w:t>
      </w:r>
      <w:r w:rsidR="006E106B">
        <w:rPr>
          <w:b/>
        </w:rPr>
        <w:t>slušné</w:t>
      </w:r>
      <w:r w:rsidR="001822C3" w:rsidRPr="001822C3">
        <w:rPr>
          <w:b/>
        </w:rPr>
        <w:t xml:space="preserve"> pohřbení</w:t>
      </w:r>
      <w:r w:rsidR="001822C3">
        <w:t>“)</w:t>
      </w:r>
      <w:r w:rsidRPr="0005280E">
        <w:t>.</w:t>
      </w:r>
    </w:p>
    <w:p w14:paraId="2869166C" w14:textId="51A9FB24" w:rsidR="000B6A3C" w:rsidRPr="00FF6A44" w:rsidRDefault="001822C3" w:rsidP="00A60C81">
      <w:pPr>
        <w:pStyle w:val="Odstavecseseznamem1"/>
        <w:numPr>
          <w:ilvl w:val="1"/>
          <w:numId w:val="1"/>
        </w:numPr>
        <w:ind w:left="567" w:hanging="567"/>
        <w:jc w:val="both"/>
      </w:pPr>
      <w:r w:rsidRPr="00FF6A44">
        <w:t>Zajištění slušného pohřbení zahrnuje v případě pohřbení do hrobu na veřejném pohřebišti:</w:t>
      </w:r>
    </w:p>
    <w:p w14:paraId="0114709E" w14:textId="392CCAAF" w:rsidR="001822C3" w:rsidRPr="00FF6A44" w:rsidRDefault="001822C3" w:rsidP="001822C3">
      <w:pPr>
        <w:pStyle w:val="Odstavecseseznamem1"/>
        <w:numPr>
          <w:ilvl w:val="0"/>
          <w:numId w:val="27"/>
        </w:numPr>
        <w:jc w:val="both"/>
      </w:pPr>
      <w:r w:rsidRPr="00FF6A44">
        <w:t>hrobnické práce,</w:t>
      </w:r>
    </w:p>
    <w:p w14:paraId="06687711" w14:textId="5D68C357" w:rsidR="001822C3" w:rsidRPr="00FF6A44" w:rsidRDefault="001822C3" w:rsidP="001822C3">
      <w:pPr>
        <w:pStyle w:val="Odstavecseseznamem1"/>
        <w:numPr>
          <w:ilvl w:val="0"/>
          <w:numId w:val="27"/>
        </w:numPr>
        <w:jc w:val="both"/>
      </w:pPr>
      <w:r w:rsidRPr="00FF6A44">
        <w:t>nájem hrobového místa na dobu tlecí,</w:t>
      </w:r>
    </w:p>
    <w:p w14:paraId="171ACE01" w14:textId="759CC385" w:rsidR="001822C3" w:rsidRPr="00FF6A44" w:rsidRDefault="001822C3" w:rsidP="001822C3">
      <w:pPr>
        <w:pStyle w:val="Odstavecseseznamem1"/>
        <w:numPr>
          <w:ilvl w:val="0"/>
          <w:numId w:val="27"/>
        </w:numPr>
        <w:jc w:val="both"/>
      </w:pPr>
      <w:r w:rsidRPr="00FF6A44">
        <w:t>opatření hrobového místa včetně hrobové desky.</w:t>
      </w:r>
    </w:p>
    <w:p w14:paraId="1A05B842" w14:textId="1A3A6D41" w:rsidR="001822C3" w:rsidRPr="00FF6A44" w:rsidRDefault="001822C3" w:rsidP="001822C3">
      <w:pPr>
        <w:pStyle w:val="Odstavecseseznamem1"/>
        <w:numPr>
          <w:ilvl w:val="1"/>
          <w:numId w:val="1"/>
        </w:numPr>
        <w:ind w:left="567" w:hanging="567"/>
        <w:jc w:val="both"/>
      </w:pPr>
      <w:r w:rsidRPr="00FF6A44">
        <w:t>Zajištění slušného pohřbení v krematoriu zahrnuje:</w:t>
      </w:r>
    </w:p>
    <w:p w14:paraId="7E5B40A8" w14:textId="054631F4" w:rsidR="001822C3" w:rsidRPr="00FF6A44" w:rsidRDefault="001822C3" w:rsidP="001822C3">
      <w:pPr>
        <w:pStyle w:val="Odstavecseseznamem1"/>
        <w:numPr>
          <w:ilvl w:val="0"/>
          <w:numId w:val="27"/>
        </w:numPr>
        <w:jc w:val="both"/>
      </w:pPr>
      <w:r w:rsidRPr="00FF6A44">
        <w:t>kremaci</w:t>
      </w:r>
      <w:r w:rsidR="009362D2" w:rsidRPr="00FF6A44">
        <w:t xml:space="preserve"> (zpopelnění)</w:t>
      </w:r>
      <w:r w:rsidRPr="00FF6A44">
        <w:t>,</w:t>
      </w:r>
    </w:p>
    <w:p w14:paraId="45DE66C2" w14:textId="47A7E8B8" w:rsidR="001822C3" w:rsidRPr="00FF6A44" w:rsidRDefault="00FF7874" w:rsidP="001822C3">
      <w:pPr>
        <w:pStyle w:val="Odstavecseseznamem1"/>
        <w:numPr>
          <w:ilvl w:val="0"/>
          <w:numId w:val="27"/>
        </w:numPr>
        <w:jc w:val="both"/>
      </w:pPr>
      <w:r w:rsidRPr="00FF6A44">
        <w:t>urnu,</w:t>
      </w:r>
    </w:p>
    <w:p w14:paraId="0F97B702" w14:textId="516B97D3" w:rsidR="00FF7874" w:rsidRPr="00FF6A44" w:rsidRDefault="00FF7874" w:rsidP="001822C3">
      <w:pPr>
        <w:pStyle w:val="Odstavecseseznamem1"/>
        <w:numPr>
          <w:ilvl w:val="0"/>
          <w:numId w:val="27"/>
        </w:numPr>
        <w:jc w:val="both"/>
      </w:pPr>
      <w:r w:rsidRPr="00FF6A44">
        <w:t>uložení popela do pevně uzavíratelné urny s označením,</w:t>
      </w:r>
    </w:p>
    <w:p w14:paraId="27AC49C1" w14:textId="79D094D7" w:rsidR="00FF7874" w:rsidRPr="00FF6A44" w:rsidRDefault="00FF7874" w:rsidP="001822C3">
      <w:pPr>
        <w:pStyle w:val="Odstavecseseznamem1"/>
        <w:numPr>
          <w:ilvl w:val="0"/>
          <w:numId w:val="27"/>
        </w:numPr>
        <w:jc w:val="both"/>
      </w:pPr>
      <w:r w:rsidRPr="00FF6A44">
        <w:t>převoz urny s lidskými ostatky na veřejné pohřebiště,</w:t>
      </w:r>
    </w:p>
    <w:p w14:paraId="51EAE4A1" w14:textId="38516D49" w:rsidR="00FF7874" w:rsidRPr="00FF6A44" w:rsidRDefault="00FF7874" w:rsidP="00FF7874">
      <w:pPr>
        <w:pStyle w:val="Odstavecseseznamem1"/>
        <w:numPr>
          <w:ilvl w:val="0"/>
          <w:numId w:val="27"/>
        </w:numPr>
        <w:jc w:val="both"/>
      </w:pPr>
      <w:r w:rsidRPr="00FF6A44">
        <w:t>uložení urny s lidskými ostatky do úložiště jednotlivých uren na veřejném pohřebišti, uložení urny s lidskými ostatky do hrobu nebo hrobky na veřejném pohřebišti, rozptyl zpopelněných lidských ostatků na veřejném pohřebišti, nebo vsyp zpopelněných lidských ostatků na veřejném pohřebišti.</w:t>
      </w:r>
    </w:p>
    <w:p w14:paraId="26DA68C1" w14:textId="74FF4409" w:rsidR="00FF7874" w:rsidRPr="00FF6A44" w:rsidRDefault="00FF7874" w:rsidP="00FF7874">
      <w:pPr>
        <w:pStyle w:val="Odstavecseseznamem1"/>
        <w:numPr>
          <w:ilvl w:val="1"/>
          <w:numId w:val="1"/>
        </w:numPr>
        <w:ind w:left="567" w:hanging="567"/>
        <w:jc w:val="both"/>
      </w:pPr>
      <w:r w:rsidRPr="00FF6A44">
        <w:t xml:space="preserve">Zajištění slušného pohřbení zahrnuje v případech dle odst. 1.3. a 1.4. </w:t>
      </w:r>
      <w:r w:rsidR="00F25D34" w:rsidRPr="00FF6A44">
        <w:t xml:space="preserve">tohoto článku </w:t>
      </w:r>
      <w:r w:rsidRPr="00FF6A44">
        <w:t>také následující</w:t>
      </w:r>
      <w:r w:rsidR="00AC33BD" w:rsidRPr="00FF6A44">
        <w:t xml:space="preserve"> položky</w:t>
      </w:r>
      <w:r w:rsidR="00230641" w:rsidRPr="00FF6A44">
        <w:t xml:space="preserve"> (služby)</w:t>
      </w:r>
      <w:r w:rsidRPr="00FF6A44">
        <w:t>:</w:t>
      </w:r>
    </w:p>
    <w:p w14:paraId="3D1C6B5D" w14:textId="22BDB1C2" w:rsidR="00FF7874" w:rsidRPr="00FF6A44" w:rsidRDefault="00FA512E" w:rsidP="00FF7874">
      <w:pPr>
        <w:pStyle w:val="Odstavecseseznamem1"/>
        <w:numPr>
          <w:ilvl w:val="0"/>
          <w:numId w:val="27"/>
        </w:numPr>
        <w:jc w:val="both"/>
      </w:pPr>
      <w:r w:rsidRPr="00FF6A44">
        <w:t>odměnu pro poskytovatele,</w:t>
      </w:r>
    </w:p>
    <w:p w14:paraId="3ACE1DB6" w14:textId="77777777" w:rsidR="00F91829" w:rsidRPr="00FF6A44" w:rsidRDefault="00F91829" w:rsidP="00F91829">
      <w:pPr>
        <w:pStyle w:val="Odstavecseseznamem1"/>
        <w:numPr>
          <w:ilvl w:val="0"/>
          <w:numId w:val="27"/>
        </w:numPr>
        <w:jc w:val="both"/>
      </w:pPr>
      <w:r w:rsidRPr="00FF6A44">
        <w:t>použití chladícího zařízení (vyjma uložení 48 hodin po úmrtí nebo pitvě),</w:t>
      </w:r>
    </w:p>
    <w:p w14:paraId="105699D3" w14:textId="77777777" w:rsidR="00F91829" w:rsidRPr="00FF6A44" w:rsidRDefault="00F91829" w:rsidP="00F91829">
      <w:pPr>
        <w:pStyle w:val="Odstavecseseznamem1"/>
        <w:numPr>
          <w:ilvl w:val="0"/>
          <w:numId w:val="27"/>
        </w:numPr>
        <w:jc w:val="both"/>
      </w:pPr>
      <w:r w:rsidRPr="00FF6A44">
        <w:t>použití mrazicího zařízení (vyjma uložení 48 hodin po úmrtí nebo pitvě),</w:t>
      </w:r>
    </w:p>
    <w:p w14:paraId="1542F0BD" w14:textId="30AB3242" w:rsidR="00FA512E" w:rsidRPr="00FF6A44" w:rsidRDefault="00FA512E" w:rsidP="00FF7874">
      <w:pPr>
        <w:pStyle w:val="Odstavecseseznamem1"/>
        <w:numPr>
          <w:ilvl w:val="0"/>
          <w:numId w:val="27"/>
        </w:numPr>
        <w:jc w:val="both"/>
      </w:pPr>
      <w:r w:rsidRPr="00FF6A44">
        <w:t>konečnou rakev,</w:t>
      </w:r>
    </w:p>
    <w:p w14:paraId="32B3DA08" w14:textId="36D3B7AA" w:rsidR="00FA512E" w:rsidRPr="00FF6A44" w:rsidRDefault="00FA512E" w:rsidP="00FF7874">
      <w:pPr>
        <w:pStyle w:val="Odstavecseseznamem1"/>
        <w:numPr>
          <w:ilvl w:val="0"/>
          <w:numId w:val="27"/>
        </w:numPr>
        <w:jc w:val="both"/>
      </w:pPr>
      <w:r w:rsidRPr="00FF6A44">
        <w:t>vložku do konečné rakve,</w:t>
      </w:r>
    </w:p>
    <w:p w14:paraId="7339BC16" w14:textId="10C35474" w:rsidR="00FA512E" w:rsidRPr="00FF6A44" w:rsidRDefault="00FA512E" w:rsidP="00FF7874">
      <w:pPr>
        <w:pStyle w:val="Odstavecseseznamem1"/>
        <w:numPr>
          <w:ilvl w:val="0"/>
          <w:numId w:val="27"/>
        </w:numPr>
        <w:jc w:val="both"/>
      </w:pPr>
      <w:r w:rsidRPr="00FF6A44">
        <w:t>vystýlku do konečné rakve,</w:t>
      </w:r>
    </w:p>
    <w:p w14:paraId="308BA2AF" w14:textId="444CD71C" w:rsidR="00FA512E" w:rsidRPr="00FF6A44" w:rsidRDefault="00FA512E" w:rsidP="00FF7874">
      <w:pPr>
        <w:pStyle w:val="Odstavecseseznamem1"/>
        <w:numPr>
          <w:ilvl w:val="0"/>
          <w:numId w:val="27"/>
        </w:numPr>
        <w:jc w:val="both"/>
      </w:pPr>
      <w:r w:rsidRPr="00FF6A44">
        <w:t>transportní vak,</w:t>
      </w:r>
    </w:p>
    <w:p w14:paraId="52E5292F" w14:textId="5B0CE46C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úpravu těla zemřelého (svlečení, umývání, holení, stříhání, kosmetické úpravy),</w:t>
      </w:r>
    </w:p>
    <w:p w14:paraId="18A3DD73" w14:textId="63BBD1F6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rubáš a návleky na chodidla,</w:t>
      </w:r>
    </w:p>
    <w:p w14:paraId="3772C181" w14:textId="0A01D2AC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oblečení do šatů nebo rubáše,</w:t>
      </w:r>
    </w:p>
    <w:p w14:paraId="02FBC7DC" w14:textId="2ADD58D9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uložení těla zemřelého do rakve,</w:t>
      </w:r>
    </w:p>
    <w:p w14:paraId="08A637BB" w14:textId="5FB5AC17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manipulaci s rakví, jinou obdobnou schránkou nebo transportním nosítkem,</w:t>
      </w:r>
    </w:p>
    <w:p w14:paraId="5797E651" w14:textId="75CA157D" w:rsidR="00FA512E" w:rsidRPr="00FF6A44" w:rsidRDefault="00FA512E" w:rsidP="00FA512E">
      <w:pPr>
        <w:pStyle w:val="Odstavecseseznamem1"/>
        <w:numPr>
          <w:ilvl w:val="0"/>
          <w:numId w:val="27"/>
        </w:numPr>
        <w:jc w:val="both"/>
      </w:pPr>
      <w:r w:rsidRPr="00FF6A44">
        <w:t>přepravu těla zemřelého</w:t>
      </w:r>
      <w:r w:rsidR="00131CDD" w:rsidRPr="00FF6A44">
        <w:t>, kromě přepravy na pitvu a z pitvy, do místa pohřbení</w:t>
      </w:r>
      <w:r w:rsidRPr="00FF6A44">
        <w:t>.</w:t>
      </w:r>
    </w:p>
    <w:p w14:paraId="628DEA60" w14:textId="77777777" w:rsidR="000B6A3C" w:rsidRDefault="000B6A3C" w:rsidP="00A60C81">
      <w:pPr>
        <w:spacing w:after="0"/>
        <w:jc w:val="center"/>
        <w:rPr>
          <w:b/>
        </w:rPr>
      </w:pPr>
      <w:r>
        <w:rPr>
          <w:b/>
        </w:rPr>
        <w:t>Č</w:t>
      </w:r>
      <w:r w:rsidR="00283467">
        <w:rPr>
          <w:b/>
        </w:rPr>
        <w:t>lánek I</w:t>
      </w:r>
      <w:r>
        <w:rPr>
          <w:b/>
        </w:rPr>
        <w:t>I.</w:t>
      </w:r>
    </w:p>
    <w:p w14:paraId="7965471A" w14:textId="77777777" w:rsidR="000B6A3C" w:rsidRDefault="000B6A3C" w:rsidP="000B6A3C">
      <w:pPr>
        <w:jc w:val="center"/>
        <w:rPr>
          <w:b/>
        </w:rPr>
      </w:pPr>
      <w:r>
        <w:rPr>
          <w:b/>
        </w:rPr>
        <w:t>Doba a místo plnění</w:t>
      </w:r>
    </w:p>
    <w:p w14:paraId="3D65B5AB" w14:textId="215615EA" w:rsidR="000B6A3C" w:rsidRDefault="000B6A3C" w:rsidP="000B6A3C">
      <w:pPr>
        <w:pStyle w:val="Odstavecseseznamem1"/>
        <w:numPr>
          <w:ilvl w:val="1"/>
          <w:numId w:val="4"/>
        </w:numPr>
        <w:spacing w:after="360"/>
        <w:ind w:left="567" w:hanging="567"/>
        <w:jc w:val="both"/>
      </w:pPr>
      <w:r>
        <w:t xml:space="preserve">Místem plnění je území městské části Praha 8. </w:t>
      </w:r>
      <w:r w:rsidR="00752AE2">
        <w:t>Služby</w:t>
      </w:r>
      <w:r>
        <w:t xml:space="preserve">, </w:t>
      </w:r>
      <w:r w:rsidR="00752AE2">
        <w:t>které</w:t>
      </w:r>
      <w:r>
        <w:t xml:space="preserve"> jsou předmětem této smlouvy, budou </w:t>
      </w:r>
      <w:r w:rsidR="00816648">
        <w:t>poskytovány</w:t>
      </w:r>
      <w:r>
        <w:t xml:space="preserve"> </w:t>
      </w:r>
      <w:r w:rsidR="00752AE2">
        <w:t>n</w:t>
      </w:r>
      <w:r>
        <w:t xml:space="preserve">a </w:t>
      </w:r>
      <w:r w:rsidR="004B79FC">
        <w:t>místech</w:t>
      </w:r>
      <w:r>
        <w:t xml:space="preserve"> určených jednotlivými objednávkami.</w:t>
      </w:r>
    </w:p>
    <w:p w14:paraId="01F73977" w14:textId="4E1BEB14" w:rsidR="000B6A3C" w:rsidRPr="00A150FD" w:rsidRDefault="000B6A3C" w:rsidP="000B6A3C">
      <w:pPr>
        <w:pStyle w:val="Odstavecseseznamem1"/>
        <w:numPr>
          <w:ilvl w:val="1"/>
          <w:numId w:val="4"/>
        </w:numPr>
        <w:spacing w:after="360"/>
        <w:ind w:left="567" w:hanging="567"/>
        <w:jc w:val="both"/>
      </w:pPr>
      <w:r w:rsidRPr="00A150FD">
        <w:t>Termín zaháje</w:t>
      </w:r>
      <w:r w:rsidR="00752AE2" w:rsidRPr="00A150FD">
        <w:t>ní plnění dle této smlouvy je d</w:t>
      </w:r>
      <w:r w:rsidRPr="00A150FD">
        <w:t>e</w:t>
      </w:r>
      <w:r w:rsidR="00752AE2" w:rsidRPr="00A150FD">
        <w:t>n</w:t>
      </w:r>
      <w:r w:rsidRPr="00A150FD">
        <w:t xml:space="preserve"> uzavření této smlouvy.</w:t>
      </w:r>
    </w:p>
    <w:p w14:paraId="2016320A" w14:textId="301C978E" w:rsidR="00A150FD" w:rsidRPr="00A150FD" w:rsidRDefault="00A150FD" w:rsidP="000B6A3C">
      <w:pPr>
        <w:pStyle w:val="Odstavecseseznamem1"/>
        <w:numPr>
          <w:ilvl w:val="1"/>
          <w:numId w:val="4"/>
        </w:numPr>
        <w:spacing w:after="360"/>
        <w:ind w:left="567" w:hanging="567"/>
        <w:jc w:val="both"/>
      </w:pPr>
      <w:r w:rsidRPr="00A150FD">
        <w:t xml:space="preserve">Slušné pohřbení bude </w:t>
      </w:r>
      <w:r w:rsidR="006E106B">
        <w:t>poskytovatel zajišťovat</w:t>
      </w:r>
      <w:r w:rsidRPr="00A150FD">
        <w:t xml:space="preserve"> ve lhůtách vyplývajících z právních předpisů zejména zákona č. 256/2001 Sb., o pohřebnictví a o změně některých zákonů</w:t>
      </w:r>
      <w:r w:rsidR="006E106B">
        <w:t>,</w:t>
      </w:r>
      <w:r w:rsidRPr="00A150FD">
        <w:t xml:space="preserve"> ve znění pozdějších předpisů</w:t>
      </w:r>
      <w:r w:rsidR="006E106B">
        <w:t>.</w:t>
      </w:r>
    </w:p>
    <w:p w14:paraId="046443A1" w14:textId="3FC7C7F5" w:rsidR="00C72C75" w:rsidRPr="00C80B47" w:rsidRDefault="00C72C75" w:rsidP="00A60C81">
      <w:pPr>
        <w:pStyle w:val="Odstavecseseznamem1"/>
        <w:numPr>
          <w:ilvl w:val="1"/>
          <w:numId w:val="4"/>
        </w:numPr>
        <w:ind w:left="567" w:hanging="567"/>
        <w:jc w:val="both"/>
        <w:rPr>
          <w:rFonts w:ascii="Calibri" w:eastAsia="Times New Roman" w:hAnsi="Calibri" w:cs="Times New Roman"/>
        </w:rPr>
      </w:pPr>
      <w:r w:rsidRPr="00A150FD">
        <w:t>Tato smlouva se uzavírá</w:t>
      </w:r>
      <w:r>
        <w:rPr>
          <w:rFonts w:ascii="Calibri" w:eastAsia="Times New Roman" w:hAnsi="Calibri" w:cs="Times New Roman"/>
        </w:rPr>
        <w:t xml:space="preserve"> na dobu určitou, a </w:t>
      </w:r>
      <w:r w:rsidRPr="00B47DD1">
        <w:rPr>
          <w:rFonts w:ascii="Calibri" w:eastAsia="Times New Roman" w:hAnsi="Calibri" w:cs="Times New Roman"/>
        </w:rPr>
        <w:t xml:space="preserve">to </w:t>
      </w:r>
      <w:r w:rsidR="004B79FC" w:rsidRPr="00B47DD1">
        <w:rPr>
          <w:rFonts w:ascii="Calibri" w:eastAsia="Times New Roman" w:hAnsi="Calibri" w:cs="Times New Roman"/>
        </w:rPr>
        <w:t xml:space="preserve">do </w:t>
      </w:r>
      <w:r w:rsidR="00283917">
        <w:t xml:space="preserve">vyčerpání maximálního finančního limitu plnění ve výši </w:t>
      </w:r>
      <w:proofErr w:type="gramStart"/>
      <w:r w:rsidR="00B47DD1">
        <w:t>1.</w:t>
      </w:r>
      <w:r w:rsidR="00557EC5">
        <w:t>5</w:t>
      </w:r>
      <w:r w:rsidR="00D92001">
        <w:t>00</w:t>
      </w:r>
      <w:r w:rsidR="00752AE2">
        <w:t>.000,-</w:t>
      </w:r>
      <w:proofErr w:type="gramEnd"/>
      <w:r w:rsidR="00752AE2">
        <w:t xml:space="preserve"> Kč bez DPH</w:t>
      </w:r>
      <w:r w:rsidR="00283917" w:rsidRPr="00C80B47">
        <w:t>.</w:t>
      </w:r>
    </w:p>
    <w:p w14:paraId="5396B6DD" w14:textId="69085741" w:rsidR="00696960" w:rsidRDefault="00696960" w:rsidP="000B6A3C">
      <w:pPr>
        <w:spacing w:after="0"/>
        <w:jc w:val="center"/>
        <w:rPr>
          <w:b/>
        </w:rPr>
      </w:pPr>
    </w:p>
    <w:p w14:paraId="00083EAB" w14:textId="5758E8BB" w:rsidR="0086128F" w:rsidRDefault="0086128F" w:rsidP="000B6A3C">
      <w:pPr>
        <w:spacing w:after="0"/>
        <w:jc w:val="center"/>
        <w:rPr>
          <w:b/>
        </w:rPr>
      </w:pPr>
    </w:p>
    <w:p w14:paraId="08E53A23" w14:textId="5CF3F68D" w:rsidR="0086128F" w:rsidRDefault="0086128F" w:rsidP="000B6A3C">
      <w:pPr>
        <w:spacing w:after="0"/>
        <w:jc w:val="center"/>
        <w:rPr>
          <w:b/>
        </w:rPr>
      </w:pPr>
    </w:p>
    <w:p w14:paraId="67DA438F" w14:textId="77777777" w:rsidR="00ED289B" w:rsidRDefault="00ED289B" w:rsidP="00ED289B">
      <w:pPr>
        <w:spacing w:after="0"/>
        <w:jc w:val="center"/>
        <w:rPr>
          <w:b/>
        </w:rPr>
      </w:pPr>
      <w:r>
        <w:rPr>
          <w:b/>
        </w:rPr>
        <w:lastRenderedPageBreak/>
        <w:t>Článek III.</w:t>
      </w:r>
    </w:p>
    <w:p w14:paraId="3B5EACE0" w14:textId="77777777" w:rsidR="00ED289B" w:rsidRDefault="00ED289B" w:rsidP="00ED289B">
      <w:pPr>
        <w:snapToGrid w:val="0"/>
        <w:spacing w:afterLines="100" w:after="240"/>
        <w:jc w:val="center"/>
        <w:rPr>
          <w:b/>
        </w:rPr>
      </w:pPr>
      <w:r>
        <w:rPr>
          <w:b/>
        </w:rPr>
        <w:t>Podmínky poskytování služeb</w:t>
      </w:r>
    </w:p>
    <w:p w14:paraId="3A1AE4BE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Poskytovatel se zavazuje provádět služby s vynaložením veškeré odborné péče, dle pokynů objednatele, kvalitně a bez vad, výhradně v souladu s touto smlouvou a právními předpisy.</w:t>
      </w:r>
    </w:p>
    <w:p w14:paraId="34C61EEC" w14:textId="77777777" w:rsidR="00ED289B" w:rsidRPr="0086128F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 w:rsidRPr="00953FEC">
        <w:t xml:space="preserve">Poskytovatel prohlašuje, že jednotkové ceny za jednotlivé služby uvedené v příloze č. 1 této smlouvy odpovídají věcně usměrňované ceně </w:t>
      </w:r>
      <w:r w:rsidRPr="0086128F">
        <w:t>podle Výměru Ministerstva financí č. 01/2013.</w:t>
      </w:r>
    </w:p>
    <w:p w14:paraId="2F9D0BAB" w14:textId="77777777" w:rsidR="00ED289B" w:rsidRPr="00D91BAF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Poskytovatel je povinen započít s prováděním služeb</w:t>
      </w:r>
      <w:r w:rsidRPr="00AA6E65">
        <w:t xml:space="preserve"> </w:t>
      </w:r>
      <w:r>
        <w:t xml:space="preserve">ihned od doručení </w:t>
      </w:r>
      <w:r w:rsidRPr="00D91BAF">
        <w:t xml:space="preserve">objednávky. </w:t>
      </w:r>
      <w:r>
        <w:t>Doručení</w:t>
      </w:r>
      <w:r w:rsidRPr="00D91BAF">
        <w:t xml:space="preserve"> objednávky poskytovatel </w:t>
      </w:r>
      <w:r>
        <w:t>objednateli</w:t>
      </w:r>
      <w:r w:rsidRPr="00D91BAF">
        <w:t xml:space="preserve"> bezodkladně potvrdí e-mailem</w:t>
      </w:r>
      <w:r>
        <w:t xml:space="preserve"> oprávněné osobě uvedené v odst. 8.1. této smlouvy</w:t>
      </w:r>
      <w:r w:rsidRPr="00D91BAF">
        <w:t>.</w:t>
      </w:r>
    </w:p>
    <w:p w14:paraId="36D560FC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Poskytovatel</w:t>
      </w:r>
      <w:r w:rsidRPr="00F22D7E">
        <w:t xml:space="preserve"> je povinen informovat </w:t>
      </w:r>
      <w:r>
        <w:t>objednatele</w:t>
      </w:r>
      <w:r w:rsidRPr="00F22D7E">
        <w:t xml:space="preserve"> o průběhu své činnosti v souvislosti s předmětem </w:t>
      </w:r>
      <w:r>
        <w:t xml:space="preserve">této smlouvy. </w:t>
      </w:r>
    </w:p>
    <w:p w14:paraId="32F6706D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 w:rsidRPr="00AE739A">
        <w:t>Poskytovatel je povinen vést</w:t>
      </w:r>
      <w:r>
        <w:t xml:space="preserve"> písemné záznamy o provedených s</w:t>
      </w:r>
      <w:r w:rsidRPr="00AE739A">
        <w:t>lužbách tak, aby byl kdykoliv n</w:t>
      </w:r>
      <w:r>
        <w:t>a žádost o</w:t>
      </w:r>
      <w:r w:rsidRPr="00AE739A">
        <w:t>bjednatele schopen prok</w:t>
      </w:r>
      <w:r>
        <w:t>ázat řádné provedení jakékoliv s</w:t>
      </w:r>
      <w:r w:rsidRPr="00AE739A">
        <w:t xml:space="preserve">lužby. </w:t>
      </w:r>
      <w:r>
        <w:t>Tento soupis</w:t>
      </w:r>
      <w:r w:rsidRPr="00AE739A">
        <w:t xml:space="preserve"> provedených prací musí obsahovat minimá</w:t>
      </w:r>
      <w:r>
        <w:t xml:space="preserve">lně datum, čas a </w:t>
      </w:r>
      <w:r w:rsidRPr="00AE739A">
        <w:t xml:space="preserve">popis </w:t>
      </w:r>
      <w:r>
        <w:t>provedené služby.</w:t>
      </w:r>
    </w:p>
    <w:p w14:paraId="3343C703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Poskytovatel se zavazuje neprodleně informovat objednatele o všech skutečnostech, které by mu mohly způsobit finanční, nebo jinou újmu, o překážkách, které by mohly ohrozit termíny stanovené touto smlouvou.</w:t>
      </w:r>
    </w:p>
    <w:p w14:paraId="4A368785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Služby může poskytovatel provést prostřednictvím poddodavatelů, odpovídá však, jako by plnil sám.</w:t>
      </w:r>
    </w:p>
    <w:p w14:paraId="28F9D375" w14:textId="63B0705F" w:rsidR="00ED289B" w:rsidRPr="00A378B2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 w:rsidRPr="00A378B2">
        <w:t xml:space="preserve">Poskytovatel zajistí po pohřbení v krematoriu uložení urny na </w:t>
      </w:r>
      <w:r w:rsidRPr="0086128F">
        <w:t xml:space="preserve">dobu </w:t>
      </w:r>
      <w:r w:rsidR="00BB0E17" w:rsidRPr="0086128F">
        <w:t>12</w:t>
      </w:r>
      <w:r w:rsidRPr="0086128F">
        <w:t xml:space="preserve"> měsíců pro případné vyzvednutí urny pozůstalými zemřelého. Urna bude vydána pouze na základě potvrzení objednatele o uhrazení nákladů pohřbení. Po uplynutí doby </w:t>
      </w:r>
      <w:r w:rsidR="00BB0E17" w:rsidRPr="0086128F">
        <w:t>12</w:t>
      </w:r>
      <w:r w:rsidRPr="0086128F">
        <w:t xml:space="preserve"> měsíců</w:t>
      </w:r>
      <w:r>
        <w:t xml:space="preserve"> </w:t>
      </w:r>
      <w:r w:rsidRPr="00A378B2">
        <w:t>zajistí poskytovatel uložení urny do hrobu nebo hrobky na veřejném pohřebišti, rozptyl zpopelněných lidských ostatků na veřejném pohřebišti, nebo vsyp zpopelněných lidských ostatků na veřejném pohřebišti.</w:t>
      </w:r>
    </w:p>
    <w:p w14:paraId="1331F6B0" w14:textId="77777777" w:rsidR="00ED289B" w:rsidRDefault="00ED289B" w:rsidP="00ED289B">
      <w:pPr>
        <w:pStyle w:val="Odstavecseseznamem1"/>
        <w:numPr>
          <w:ilvl w:val="1"/>
          <w:numId w:val="6"/>
        </w:numPr>
        <w:spacing w:after="360"/>
        <w:ind w:left="672" w:hanging="672"/>
        <w:jc w:val="both"/>
      </w:pPr>
      <w:r>
        <w:t>Objednatel se zavazuje poskytovat poskytovateli nezbytnou součinnost za účelem řádného provedení služeb.</w:t>
      </w:r>
    </w:p>
    <w:p w14:paraId="3F1B00DA" w14:textId="7F30EFA1" w:rsidR="000B6A3C" w:rsidRDefault="001268A9" w:rsidP="000B6A3C">
      <w:pPr>
        <w:spacing w:after="0"/>
        <w:jc w:val="center"/>
        <w:rPr>
          <w:b/>
        </w:rPr>
      </w:pPr>
      <w:r>
        <w:rPr>
          <w:b/>
        </w:rPr>
        <w:t xml:space="preserve">Článek </w:t>
      </w:r>
      <w:r w:rsidR="00F22D7E">
        <w:rPr>
          <w:b/>
        </w:rPr>
        <w:t>I</w:t>
      </w:r>
      <w:r>
        <w:rPr>
          <w:b/>
        </w:rPr>
        <w:t>V</w:t>
      </w:r>
      <w:r w:rsidR="000B6A3C">
        <w:rPr>
          <w:b/>
        </w:rPr>
        <w:t>.</w:t>
      </w:r>
    </w:p>
    <w:p w14:paraId="09FC8CC1" w14:textId="77777777" w:rsidR="000B6A3C" w:rsidRDefault="000B6A3C" w:rsidP="000B6A3C">
      <w:pPr>
        <w:jc w:val="center"/>
        <w:rPr>
          <w:b/>
        </w:rPr>
      </w:pPr>
      <w:r>
        <w:rPr>
          <w:b/>
        </w:rPr>
        <w:t>Cena a platební podmínky</w:t>
      </w:r>
    </w:p>
    <w:p w14:paraId="38B08E9F" w14:textId="4236463D" w:rsidR="000B6A3C" w:rsidRDefault="003D3C2C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t>Jednotkové ceny za jednotlivé služby jsou uvedeny v příloze č. 1 této smlouvy a jsou</w:t>
      </w:r>
      <w:r w:rsidR="000B6A3C">
        <w:t xml:space="preserve"> stanoven</w:t>
      </w:r>
      <w:r>
        <w:t>y jako ceny pevné, tj. zahrnují</w:t>
      </w:r>
      <w:r w:rsidR="000B6A3C">
        <w:t xml:space="preserve"> veškeré náklady </w:t>
      </w:r>
      <w:r w:rsidR="00EF234F">
        <w:t>poskytovatel</w:t>
      </w:r>
      <w:r w:rsidR="000B6A3C">
        <w:t xml:space="preserve">e související s provedením </w:t>
      </w:r>
      <w:r>
        <w:t>dané služby</w:t>
      </w:r>
      <w:r w:rsidR="000B6A3C">
        <w:t xml:space="preserve">. Dále jsou součástí </w:t>
      </w:r>
      <w:r>
        <w:t xml:space="preserve">jednotkových cen </w:t>
      </w:r>
      <w:r w:rsidR="000B6A3C">
        <w:t xml:space="preserve">i </w:t>
      </w:r>
      <w:r>
        <w:t>práce</w:t>
      </w:r>
      <w:r w:rsidR="00497A8F">
        <w:t>, služby</w:t>
      </w:r>
      <w:r w:rsidR="000B6A3C">
        <w:t xml:space="preserve"> a dodávky, které nejsou výslovně uvedeny, ale </w:t>
      </w:r>
      <w:r w:rsidR="00EF234F">
        <w:t>poskytovatel</w:t>
      </w:r>
      <w:r w:rsidR="000B6A3C">
        <w:t xml:space="preserve">, jakožto odborník o nich ví nebo vědět musel, neboť jsou nezbytné k provedení </w:t>
      </w:r>
      <w:r>
        <w:t>služby</w:t>
      </w:r>
      <w:r w:rsidR="000B6A3C">
        <w:t>.</w:t>
      </w:r>
    </w:p>
    <w:p w14:paraId="685C40AD" w14:textId="77777777" w:rsidR="000B6A3C" w:rsidRDefault="009B0D98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t>Ceny</w:t>
      </w:r>
      <w:r w:rsidR="000B6A3C">
        <w:t xml:space="preserve"> dle předchozího odstavce bude objednatel hradit dle skutečně </w:t>
      </w:r>
      <w:r>
        <w:t>provedených služeb, a to na základě faktur vystavených poskytovatelem</w:t>
      </w:r>
      <w:r w:rsidR="000B6A3C">
        <w:t>.</w:t>
      </w:r>
    </w:p>
    <w:p w14:paraId="5C8AF1AE" w14:textId="5CA935FD" w:rsidR="001407C4" w:rsidRPr="001407C4" w:rsidRDefault="001407C4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 w:rsidRPr="001407C4">
        <w:t xml:space="preserve">Platba za účelně vynaložené náklady </w:t>
      </w:r>
      <w:r>
        <w:t xml:space="preserve">slušného </w:t>
      </w:r>
      <w:r w:rsidRPr="001407C4">
        <w:t xml:space="preserve">pohřbení bude provedena na základě poskytovatelem vystavené faktury </w:t>
      </w:r>
      <w:r>
        <w:t xml:space="preserve">vždy </w:t>
      </w:r>
      <w:r w:rsidRPr="001407C4">
        <w:t xml:space="preserve">po splnění předmětu každé objednávky objednatele bankovním převodem na účet poskytovatele. Faktura musí obsahovat podrobnou kalkulaci skutečně realizovaných služeb a nákupů materiálu v členění dle </w:t>
      </w:r>
      <w:r>
        <w:t>odst.</w:t>
      </w:r>
      <w:r w:rsidRPr="001407C4">
        <w:t xml:space="preserve"> 1.3., 1.4. a 1.5.</w:t>
      </w:r>
      <w:r>
        <w:t xml:space="preserve"> této smlouvy.</w:t>
      </w:r>
      <w:r w:rsidRPr="001407C4">
        <w:t xml:space="preserve"> Nedílnou součástí faktury u pohřbení v krematoriu musí být doklad o zpopelnění</w:t>
      </w:r>
      <w:r>
        <w:t xml:space="preserve"> a</w:t>
      </w:r>
      <w:r w:rsidR="0082745A">
        <w:t> </w:t>
      </w:r>
      <w:r w:rsidRPr="001407C4">
        <w:t>u</w:t>
      </w:r>
      <w:r w:rsidR="0082745A">
        <w:t> </w:t>
      </w:r>
      <w:r w:rsidRPr="001407C4">
        <w:t>pohřbení do hrobu pak smlouva o nájmu hrobového místa.</w:t>
      </w:r>
    </w:p>
    <w:p w14:paraId="095A310E" w14:textId="2DD2550F" w:rsidR="000B6A3C" w:rsidRDefault="000B6A3C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lastRenderedPageBreak/>
        <w:t xml:space="preserve">Objednatel je oprávněn započítat do jakékoliv úhrady, která náleží </w:t>
      </w:r>
      <w:r w:rsidR="00EF234F">
        <w:t>poskytovatel</w:t>
      </w:r>
      <w:r>
        <w:t>i dle této smlouvy, smluvní pokutu nebo náhradu škody, na které mu v důsledku porušení závazků ze</w:t>
      </w:r>
      <w:r w:rsidR="00832119">
        <w:t> </w:t>
      </w:r>
      <w:r>
        <w:t xml:space="preserve">strany </w:t>
      </w:r>
      <w:r w:rsidR="00EF234F">
        <w:t>poskytovatel</w:t>
      </w:r>
      <w:r>
        <w:t>e vyplývající z této smlouvy vznikl nárok.</w:t>
      </w:r>
    </w:p>
    <w:p w14:paraId="6418A5B3" w14:textId="77777777" w:rsidR="000B6A3C" w:rsidRDefault="000B6A3C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t xml:space="preserve">Faktura musí obsahovat údaje uvedené </w:t>
      </w:r>
      <w:r w:rsidR="00BC2B28">
        <w:t>v § 28 odst. 2 zákona č. 235/200</w:t>
      </w:r>
      <w:r>
        <w:t>4 Sb., o dani z přidané hodnoty, ve znění pozdějších přepisů, a zákona č. 563/1991 Sb., o účetnictví, ve znění pozdějších předpisů.</w:t>
      </w:r>
      <w:r w:rsidR="009776AC">
        <w:t xml:space="preserve"> </w:t>
      </w:r>
    </w:p>
    <w:p w14:paraId="41837139" w14:textId="77777777" w:rsidR="000B6A3C" w:rsidRDefault="000B6A3C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t>Faktura je splatná do 21 kalendářních dnů ode dne jejího doručení objednateli.</w:t>
      </w:r>
    </w:p>
    <w:p w14:paraId="6A9B7C42" w14:textId="77777777" w:rsidR="000B6A3C" w:rsidRDefault="000B6A3C" w:rsidP="000B6A3C">
      <w:pPr>
        <w:pStyle w:val="Odstavecseseznamem1"/>
        <w:numPr>
          <w:ilvl w:val="1"/>
          <w:numId w:val="7"/>
        </w:numPr>
        <w:ind w:left="669" w:hangingChars="304" w:hanging="669"/>
        <w:jc w:val="both"/>
      </w:pPr>
      <w:r>
        <w:t>Objednatel je oprávněn do data splatnosti vrátit fakturu, která neobsahuje požadované náležitosti či požadované přílohy nebo obsahuje jiné cenové údaje nebo jiný druh plnění než dohodnuté v této smlouvě s tím, že doba splatnosti nové (opravené) faktury začíná znovu běžet ode dne jejího doručení objednateli.</w:t>
      </w:r>
    </w:p>
    <w:p w14:paraId="69FAE709" w14:textId="77777777" w:rsidR="000B6A3C" w:rsidRDefault="000B6A3C" w:rsidP="000B6A3C">
      <w:pPr>
        <w:pStyle w:val="Odstavecseseznamem1"/>
        <w:numPr>
          <w:ilvl w:val="1"/>
          <w:numId w:val="7"/>
        </w:numPr>
        <w:spacing w:after="360"/>
        <w:ind w:left="669" w:hangingChars="304" w:hanging="669"/>
        <w:jc w:val="both"/>
      </w:pPr>
      <w:r>
        <w:t xml:space="preserve">Faktura je považována za zaplacenou okamžikem odepsání příslušné částky z účtu objednatele ve prospěch účtu </w:t>
      </w:r>
      <w:r w:rsidR="00EF234F">
        <w:t>poskytovatel</w:t>
      </w:r>
      <w:r>
        <w:t>e.</w:t>
      </w:r>
    </w:p>
    <w:p w14:paraId="5318CA3F" w14:textId="77777777" w:rsidR="00BD1ABE" w:rsidRDefault="00BD1ABE" w:rsidP="000B6A3C">
      <w:pPr>
        <w:pStyle w:val="Odstavecseseznamem1"/>
        <w:spacing w:after="0"/>
        <w:ind w:left="0"/>
        <w:jc w:val="center"/>
        <w:rPr>
          <w:b/>
        </w:rPr>
      </w:pPr>
    </w:p>
    <w:p w14:paraId="6883C32D" w14:textId="4B9B3C83" w:rsidR="000B6A3C" w:rsidRDefault="000B6A3C" w:rsidP="000B6A3C">
      <w:pPr>
        <w:spacing w:after="0"/>
        <w:jc w:val="center"/>
        <w:rPr>
          <w:b/>
        </w:rPr>
      </w:pPr>
      <w:r>
        <w:rPr>
          <w:b/>
        </w:rPr>
        <w:t xml:space="preserve">Článek </w:t>
      </w:r>
      <w:r w:rsidR="006723D8">
        <w:rPr>
          <w:b/>
        </w:rPr>
        <w:t>V</w:t>
      </w:r>
      <w:r>
        <w:rPr>
          <w:b/>
        </w:rPr>
        <w:t>.</w:t>
      </w:r>
    </w:p>
    <w:p w14:paraId="21E37987" w14:textId="77777777" w:rsidR="000B6A3C" w:rsidRDefault="000B6A3C" w:rsidP="000B6A3C">
      <w:pPr>
        <w:jc w:val="center"/>
        <w:rPr>
          <w:b/>
        </w:rPr>
      </w:pPr>
      <w:r>
        <w:rPr>
          <w:b/>
        </w:rPr>
        <w:t>Smluvní pokuta a náhrada újmy</w:t>
      </w:r>
    </w:p>
    <w:p w14:paraId="31425E79" w14:textId="7CEDF2F3" w:rsidR="000B6A3C" w:rsidRPr="00FC7218" w:rsidRDefault="00212593" w:rsidP="000B6A3C">
      <w:pPr>
        <w:pStyle w:val="Odstavecseseznamem1"/>
        <w:numPr>
          <w:ilvl w:val="1"/>
          <w:numId w:val="13"/>
        </w:numPr>
        <w:ind w:left="672" w:hanging="672"/>
        <w:jc w:val="both"/>
      </w:pPr>
      <w:r>
        <w:t>P</w:t>
      </w:r>
      <w:r w:rsidR="00EF234F" w:rsidRPr="00B47DD1">
        <w:t>oskytovatel</w:t>
      </w:r>
      <w:r w:rsidR="000B6A3C" w:rsidRPr="00B47DD1">
        <w:t xml:space="preserve"> </w:t>
      </w:r>
      <w:r>
        <w:t xml:space="preserve">je </w:t>
      </w:r>
      <w:r w:rsidR="000B6A3C" w:rsidRPr="00B47DD1">
        <w:t>povinen objednateli zaplatit smluvní pokut</w:t>
      </w:r>
      <w:r w:rsidR="00A774F2" w:rsidRPr="00B47DD1">
        <w:t xml:space="preserve">u ve </w:t>
      </w:r>
      <w:r w:rsidR="00A774F2" w:rsidRPr="00FC7218">
        <w:t xml:space="preserve">výši </w:t>
      </w:r>
      <w:proofErr w:type="gramStart"/>
      <w:r w:rsidRPr="00FC7218">
        <w:t>2</w:t>
      </w:r>
      <w:r w:rsidR="000B6A3C" w:rsidRPr="00FC7218">
        <w:t>.000,-</w:t>
      </w:r>
      <w:proofErr w:type="gramEnd"/>
      <w:r w:rsidR="000B6A3C" w:rsidRPr="00FC7218">
        <w:t xml:space="preserve"> Kč za každý jednotlivý případ porušení povinnosti</w:t>
      </w:r>
      <w:r w:rsidRPr="00FC7218">
        <w:t xml:space="preserve"> stanovené touto smlouvou.</w:t>
      </w:r>
    </w:p>
    <w:p w14:paraId="5D727DCE" w14:textId="77777777" w:rsidR="000B6A3C" w:rsidRDefault="00A774F2" w:rsidP="000B6A3C">
      <w:pPr>
        <w:pStyle w:val="Odstavecseseznamem1"/>
        <w:numPr>
          <w:ilvl w:val="1"/>
          <w:numId w:val="13"/>
        </w:numPr>
        <w:ind w:left="672" w:hanging="672"/>
        <w:jc w:val="both"/>
      </w:pPr>
      <w:r w:rsidRPr="00FC7218">
        <w:t xml:space="preserve">Splatnost smluvních pokut činí </w:t>
      </w:r>
      <w:r w:rsidR="000B6A3C" w:rsidRPr="00FC7218">
        <w:t>1</w:t>
      </w:r>
      <w:r w:rsidRPr="00FC7218">
        <w:t>4</w:t>
      </w:r>
      <w:r w:rsidR="000B6A3C" w:rsidRPr="00FC7218">
        <w:t xml:space="preserve"> kalendářních dnů od doručení nároku na její uhrazení</w:t>
      </w:r>
      <w:r w:rsidR="000B6A3C">
        <w:t xml:space="preserve"> druhé smluvní straně.</w:t>
      </w:r>
    </w:p>
    <w:p w14:paraId="0C513589" w14:textId="7E08D608" w:rsidR="000B6A3C" w:rsidRDefault="000B6A3C" w:rsidP="000B6A3C">
      <w:pPr>
        <w:pStyle w:val="Odstavecseseznamem1"/>
        <w:numPr>
          <w:ilvl w:val="1"/>
          <w:numId w:val="13"/>
        </w:numPr>
        <w:ind w:left="672" w:hanging="672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227F7940" w14:textId="77777777" w:rsidR="000B6A3C" w:rsidRDefault="00EF234F" w:rsidP="000B6A3C">
      <w:pPr>
        <w:pStyle w:val="Odstavecseseznamem1"/>
        <w:numPr>
          <w:ilvl w:val="1"/>
          <w:numId w:val="13"/>
        </w:numPr>
        <w:ind w:left="672" w:hanging="672"/>
        <w:jc w:val="both"/>
      </w:pPr>
      <w:r>
        <w:t>Poskytovatel</w:t>
      </w:r>
      <w:r w:rsidR="000B6A3C">
        <w:t xml:space="preserve"> odpovídá za újmu způsobenou porušením povinnosti dle této smlouvy, opomenutím nebo zásadně nekvalitním prováděním smluvní činnosti v plné výši.</w:t>
      </w:r>
    </w:p>
    <w:p w14:paraId="0F5B53BC" w14:textId="77777777" w:rsidR="000B6A3C" w:rsidRDefault="000B6A3C" w:rsidP="000B6A3C">
      <w:pPr>
        <w:pStyle w:val="Odstavecseseznamem1"/>
        <w:numPr>
          <w:ilvl w:val="1"/>
          <w:numId w:val="13"/>
        </w:numPr>
        <w:ind w:left="672" w:hanging="672"/>
        <w:jc w:val="both"/>
      </w:pPr>
      <w:r>
        <w:t>Náhrada újmy se řídí platnými ustanoveními vztahujícími se k náhradě majetkové a nemajetkové újmy stanovené občanským zákoníkem.</w:t>
      </w:r>
    </w:p>
    <w:p w14:paraId="3DA811B6" w14:textId="77777777" w:rsidR="000B6A3C" w:rsidRDefault="000B6A3C" w:rsidP="000B6A3C">
      <w:pPr>
        <w:pStyle w:val="Odstavecseseznamem1"/>
        <w:numPr>
          <w:ilvl w:val="1"/>
          <w:numId w:val="13"/>
        </w:numPr>
        <w:spacing w:after="360"/>
        <w:ind w:left="672" w:hanging="672"/>
        <w:jc w:val="both"/>
      </w:pPr>
      <w:r>
        <w:t>Jakákoliv ustanovení týkající se omezení výše či druhu škody se nepřipouští.</w:t>
      </w:r>
    </w:p>
    <w:p w14:paraId="73BC58B8" w14:textId="02F2C8CD" w:rsidR="000B6A3C" w:rsidRDefault="006723D8" w:rsidP="000B6A3C">
      <w:pPr>
        <w:spacing w:after="0"/>
        <w:jc w:val="center"/>
        <w:rPr>
          <w:b/>
        </w:rPr>
      </w:pPr>
      <w:r>
        <w:rPr>
          <w:b/>
        </w:rPr>
        <w:t>Článek V</w:t>
      </w:r>
      <w:r w:rsidR="001710A3">
        <w:rPr>
          <w:b/>
        </w:rPr>
        <w:t>I</w:t>
      </w:r>
      <w:r w:rsidR="000B6A3C">
        <w:rPr>
          <w:b/>
        </w:rPr>
        <w:t>.</w:t>
      </w:r>
    </w:p>
    <w:p w14:paraId="1BA47060" w14:textId="77777777" w:rsidR="000B6A3C" w:rsidRDefault="000B6A3C" w:rsidP="000B6A3C">
      <w:pPr>
        <w:jc w:val="center"/>
        <w:rPr>
          <w:b/>
        </w:rPr>
      </w:pPr>
      <w:r>
        <w:rPr>
          <w:b/>
        </w:rPr>
        <w:t>Ochrana informací</w:t>
      </w:r>
    </w:p>
    <w:p w14:paraId="0E77CB26" w14:textId="77777777" w:rsidR="000B6A3C" w:rsidRDefault="000B6A3C" w:rsidP="000B6A3C">
      <w:pPr>
        <w:pStyle w:val="Odstavecseseznamem1"/>
        <w:numPr>
          <w:ilvl w:val="1"/>
          <w:numId w:val="15"/>
        </w:numPr>
        <w:ind w:left="672" w:hanging="672"/>
        <w:jc w:val="both"/>
      </w:pPr>
      <w:r>
        <w:t>Smluvní strany zavazují zachovávat mlčenlivost ohledně skutečností, které se v souvislosti s</w:t>
      </w:r>
      <w:r w:rsidR="005130B3">
        <w:t> </w:t>
      </w:r>
      <w:r>
        <w:t>plněním</w:t>
      </w:r>
      <w:r w:rsidR="005130B3">
        <w:t xml:space="preserve"> této</w:t>
      </w:r>
      <w:r>
        <w:t xml:space="preserve"> smlouvy dozvěděly nebo které označily za důvěrné. </w:t>
      </w:r>
      <w:r w:rsidR="00EF234F">
        <w:t>Poskytovatel</w:t>
      </w:r>
      <w:r>
        <w:t xml:space="preserve"> je povinen přijmout opatření k ochraně důvěrných informací. Důvěrné informace mohou být </w:t>
      </w:r>
      <w:r w:rsidR="00EF234F">
        <w:t>poskytovatel</w:t>
      </w:r>
      <w:r>
        <w:t xml:space="preserve">em použity výhradně k plnění </w:t>
      </w:r>
      <w:r w:rsidR="005130B3">
        <w:t xml:space="preserve">této </w:t>
      </w:r>
      <w:r>
        <w:t>smlouvy.</w:t>
      </w:r>
    </w:p>
    <w:p w14:paraId="24B93418" w14:textId="77777777" w:rsidR="000B6A3C" w:rsidRDefault="00EF234F" w:rsidP="000B6A3C">
      <w:pPr>
        <w:pStyle w:val="Odstavecseseznamem1"/>
        <w:numPr>
          <w:ilvl w:val="1"/>
          <w:numId w:val="15"/>
        </w:numPr>
        <w:ind w:left="672" w:hanging="672"/>
        <w:jc w:val="both"/>
      </w:pPr>
      <w:r>
        <w:t>Poskytovatel</w:t>
      </w:r>
      <w:r w:rsidR="000B6A3C">
        <w:t xml:space="preserve"> nesdělí či nezpřístupní žádnou z důvěrných informací třetím osobám, nevyužije ji k vlastnímu prospěchu nebo jinak nezneužije.</w:t>
      </w:r>
    </w:p>
    <w:p w14:paraId="7010348A" w14:textId="77777777" w:rsidR="000B6A3C" w:rsidRDefault="000B6A3C" w:rsidP="000B6A3C">
      <w:pPr>
        <w:pStyle w:val="Odstavecseseznamem1"/>
        <w:numPr>
          <w:ilvl w:val="1"/>
          <w:numId w:val="15"/>
        </w:numPr>
        <w:ind w:left="672" w:hanging="672"/>
        <w:jc w:val="both"/>
      </w:pPr>
      <w:r>
        <w:t xml:space="preserve">Obě smluvní strany se zavazují, že zachovají jako důvěrné informace a zprávy týkající se vlastní spolupráce a vnitřních záležitostí smluvních stran a předmětu </w:t>
      </w:r>
      <w:r w:rsidR="005130B3">
        <w:t xml:space="preserve">této </w:t>
      </w:r>
      <w:r>
        <w:t>smlouvy, pokud by jejich zveřejnění mohlo poškodit druhou smluvní stranu.</w:t>
      </w:r>
    </w:p>
    <w:p w14:paraId="38BC7856" w14:textId="77777777" w:rsidR="000B6A3C" w:rsidRDefault="00EF234F" w:rsidP="000B6A3C">
      <w:pPr>
        <w:pStyle w:val="Odstavecseseznamem1"/>
        <w:numPr>
          <w:ilvl w:val="1"/>
          <w:numId w:val="15"/>
        </w:numPr>
        <w:ind w:left="672" w:hanging="672"/>
        <w:jc w:val="both"/>
      </w:pPr>
      <w:r>
        <w:t>Poskytovatel</w:t>
      </w:r>
      <w:r w:rsidR="000B6A3C">
        <w:t xml:space="preserve"> bude považovat za důvěrné takové informace, které budou jako důvěrné označené, nebo informace, u kterých se z povahy věci dá předpokládat, že se jedná o informace podléhající závazku mlčenlivosti, nebo informace o objednateli, které mohly z povahy věci být považovány za důvěrné a které se </w:t>
      </w:r>
      <w:r>
        <w:t>poskytovatel</w:t>
      </w:r>
      <w:r w:rsidR="000B6A3C">
        <w:t xml:space="preserve"> dozví v souvislosti s plněním </w:t>
      </w:r>
      <w:r w:rsidR="005130B3">
        <w:t xml:space="preserve">této </w:t>
      </w:r>
      <w:r w:rsidR="000B6A3C">
        <w:t>smlouvy.</w:t>
      </w:r>
    </w:p>
    <w:p w14:paraId="31614BCB" w14:textId="77777777" w:rsidR="000B6A3C" w:rsidRDefault="00EF234F" w:rsidP="000B6A3C">
      <w:pPr>
        <w:pStyle w:val="Odstavecseseznamem1"/>
        <w:numPr>
          <w:ilvl w:val="1"/>
          <w:numId w:val="15"/>
        </w:numPr>
        <w:spacing w:after="360"/>
        <w:ind w:left="672" w:hanging="672"/>
        <w:jc w:val="both"/>
      </w:pPr>
      <w:r>
        <w:lastRenderedPageBreak/>
        <w:t>Poskytovatel</w:t>
      </w:r>
      <w:r w:rsidR="000B6A3C">
        <w:t xml:space="preserve"> je povinen svého případného poddodavatele zavázat povinností mlčenlivosti a respektováním práv objednatele nejméně ve stejném rozsahu, v jakém je dle této smlouvy zavázán sám.</w:t>
      </w:r>
    </w:p>
    <w:p w14:paraId="14FA06D0" w14:textId="34846768" w:rsidR="000B6A3C" w:rsidRDefault="006723D8" w:rsidP="000B6A3C">
      <w:pPr>
        <w:spacing w:after="0"/>
        <w:jc w:val="center"/>
        <w:rPr>
          <w:b/>
        </w:rPr>
      </w:pPr>
      <w:r>
        <w:rPr>
          <w:b/>
        </w:rPr>
        <w:t>Článek V</w:t>
      </w:r>
      <w:r w:rsidR="00541BC8">
        <w:rPr>
          <w:b/>
        </w:rPr>
        <w:t>I</w:t>
      </w:r>
      <w:r w:rsidR="002C15B4">
        <w:rPr>
          <w:b/>
        </w:rPr>
        <w:t>I</w:t>
      </w:r>
      <w:r w:rsidR="000B6A3C">
        <w:rPr>
          <w:b/>
        </w:rPr>
        <w:t>.</w:t>
      </w:r>
    </w:p>
    <w:p w14:paraId="56E40E3C" w14:textId="77777777" w:rsidR="000B6A3C" w:rsidRDefault="000B6A3C" w:rsidP="000B6A3C">
      <w:pPr>
        <w:jc w:val="center"/>
        <w:rPr>
          <w:b/>
        </w:rPr>
      </w:pPr>
      <w:r>
        <w:rPr>
          <w:b/>
        </w:rPr>
        <w:t>Ukončení smluvního vztahu</w:t>
      </w:r>
    </w:p>
    <w:p w14:paraId="0603083D" w14:textId="5AD3BEB1" w:rsidR="000B6A3C" w:rsidRDefault="000B6A3C" w:rsidP="000B6A3C">
      <w:pPr>
        <w:pStyle w:val="Odstavecseseznamem1"/>
        <w:numPr>
          <w:ilvl w:val="1"/>
          <w:numId w:val="16"/>
        </w:numPr>
        <w:ind w:left="672" w:hanging="672"/>
        <w:jc w:val="both"/>
      </w:pPr>
      <w:r>
        <w:t>Smluvní strany jsou oprávněny odstoupit od této smlouvy z důvodů uvedených v zákoně, v této smlouvě a dále z důvodu podstatného porušení této smlouvy ve smyslu ustanovení § 2001 a</w:t>
      </w:r>
      <w:r w:rsidR="00832119">
        <w:t> </w:t>
      </w:r>
      <w:r>
        <w:t>násl. občanského zákoníku.</w:t>
      </w:r>
    </w:p>
    <w:p w14:paraId="3D5FC9FA" w14:textId="77777777" w:rsidR="000B6A3C" w:rsidRDefault="000B6A3C" w:rsidP="000B6A3C">
      <w:pPr>
        <w:pStyle w:val="Odstavecseseznamem1"/>
        <w:numPr>
          <w:ilvl w:val="1"/>
          <w:numId w:val="16"/>
        </w:numPr>
        <w:ind w:left="672" w:hanging="672"/>
        <w:jc w:val="both"/>
      </w:pPr>
      <w:r>
        <w:t xml:space="preserve">Za podstatné porušení této smlouvy ze strany </w:t>
      </w:r>
      <w:r w:rsidR="00EF234F">
        <w:t>poskytovatel</w:t>
      </w:r>
      <w:r>
        <w:t xml:space="preserve">e se považuje zejména porušení jakékoliv povinnosti </w:t>
      </w:r>
      <w:r w:rsidR="00EF234F">
        <w:t>poskytovatel</w:t>
      </w:r>
      <w:r>
        <w:t xml:space="preserve">e vyplývající z této smlouvy a její nesplnění ani v dodatečné přiměřené lhůtě, kterou objednatel </w:t>
      </w:r>
      <w:r w:rsidR="00EF234F">
        <w:t>poskytovatel</w:t>
      </w:r>
      <w:r>
        <w:t>i k tomu poskytne; v pochybnostech se má za to, že dodatečná lhůta je přiměřená, pokud činila alespoň 5 dnů. Odstoupení od této smlouvy ze strany objednatele není spojeno s uložením jakékoliv sankce k jeho tíži.</w:t>
      </w:r>
    </w:p>
    <w:p w14:paraId="1ED4500B" w14:textId="389EA84D" w:rsidR="000B6A3C" w:rsidRDefault="000B6A3C" w:rsidP="000B6A3C">
      <w:pPr>
        <w:pStyle w:val="Odstavecseseznamem1"/>
        <w:numPr>
          <w:ilvl w:val="1"/>
          <w:numId w:val="16"/>
        </w:numPr>
        <w:ind w:left="672" w:hanging="672"/>
        <w:jc w:val="both"/>
      </w:pPr>
      <w:r>
        <w:t>Odstoupení od této smlouvy nabývá účinnosti dnem doručení písemného oznámení o</w:t>
      </w:r>
      <w:r w:rsidR="00832119">
        <w:t> </w:t>
      </w:r>
      <w:r>
        <w:t xml:space="preserve">odstoupení od smlouvy druhé smluvní straně na adresu jejího sídla uvedenou v záhlaví </w:t>
      </w:r>
      <w:r w:rsidR="005130B3">
        <w:t xml:space="preserve">této </w:t>
      </w:r>
      <w:r>
        <w:t>smlouvy. Smluvní strany se dohodly, že odstoupení od</w:t>
      </w:r>
      <w:r w:rsidR="005130B3">
        <w:t xml:space="preserve"> této</w:t>
      </w:r>
      <w:r>
        <w:t xml:space="preserve"> smlouvy se považuje za doručené 10. dnem po jeho uložení u provozovatele poštovních služeb, resp. výslovným odmítnutím přijetí odstoupení druhou smluvní stranou.</w:t>
      </w:r>
    </w:p>
    <w:p w14:paraId="1397BD66" w14:textId="3E500221" w:rsidR="005E292F" w:rsidRDefault="005E292F" w:rsidP="000B6A3C">
      <w:pPr>
        <w:pStyle w:val="Odstavecseseznamem1"/>
        <w:numPr>
          <w:ilvl w:val="1"/>
          <w:numId w:val="16"/>
        </w:numPr>
        <w:ind w:left="672" w:hanging="672"/>
        <w:jc w:val="both"/>
      </w:pPr>
      <w:r>
        <w:t xml:space="preserve">Objednatel má právo vypovědět tuto smlouvu bez uvedení důvodu, přičemž výpovědní </w:t>
      </w:r>
      <w:r w:rsidRPr="008E76E3">
        <w:t xml:space="preserve">doba je </w:t>
      </w:r>
      <w:r>
        <w:t>jedno</w:t>
      </w:r>
      <w:r w:rsidRPr="008E76E3">
        <w:t>měsíční a počne</w:t>
      </w:r>
      <w:r w:rsidRPr="00564C32">
        <w:t xml:space="preserve"> běžet prvního dne měsíce následujícího po měsíci, v němž byla písemná výpověď doručena </w:t>
      </w:r>
      <w:r>
        <w:t>druhé smluvní straně.</w:t>
      </w:r>
    </w:p>
    <w:p w14:paraId="353F8DC4" w14:textId="5F32659C" w:rsidR="000B6A3C" w:rsidRDefault="006723D8" w:rsidP="000B6A3C">
      <w:pPr>
        <w:spacing w:after="0"/>
        <w:jc w:val="center"/>
        <w:rPr>
          <w:b/>
        </w:rPr>
      </w:pPr>
      <w:r>
        <w:rPr>
          <w:b/>
        </w:rPr>
        <w:t>Článek VIII</w:t>
      </w:r>
      <w:r w:rsidR="000B6A3C">
        <w:rPr>
          <w:b/>
        </w:rPr>
        <w:t>.</w:t>
      </w:r>
    </w:p>
    <w:p w14:paraId="622E70B1" w14:textId="77777777" w:rsidR="000B6A3C" w:rsidRDefault="000B6A3C" w:rsidP="000B6A3C">
      <w:pPr>
        <w:jc w:val="center"/>
        <w:rPr>
          <w:b/>
        </w:rPr>
      </w:pPr>
      <w:r>
        <w:rPr>
          <w:b/>
        </w:rPr>
        <w:t>Závěrečná ustanovení</w:t>
      </w:r>
    </w:p>
    <w:p w14:paraId="2AA623FF" w14:textId="77777777" w:rsidR="00C632A2" w:rsidRPr="00635C14" w:rsidRDefault="00C632A2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t>Smluvní strany</w:t>
      </w:r>
      <w:r w:rsidRPr="004060B4">
        <w:t xml:space="preserve"> pro vzájemný styk a zabezpečení povinnosti vyplý</w:t>
      </w:r>
      <w:r>
        <w:t>vajících z této smlouvy určují</w:t>
      </w:r>
      <w:r w:rsidRPr="004060B4">
        <w:t xml:space="preserve"> následující </w:t>
      </w:r>
      <w:r w:rsidRPr="00635C14">
        <w:t>oprávněné osoby:</w:t>
      </w:r>
    </w:p>
    <w:p w14:paraId="42BFC47B" w14:textId="08694FFC" w:rsidR="00C632A2" w:rsidRPr="00B47DD1" w:rsidRDefault="00C632A2" w:rsidP="00635C14">
      <w:pPr>
        <w:pStyle w:val="Odstavecseseznamem1"/>
        <w:numPr>
          <w:ilvl w:val="0"/>
          <w:numId w:val="25"/>
        </w:numPr>
        <w:jc w:val="both"/>
      </w:pPr>
      <w:r w:rsidRPr="00635C14">
        <w:t xml:space="preserve">za </w:t>
      </w:r>
      <w:r w:rsidRPr="00B47DD1">
        <w:t xml:space="preserve">objednatele: </w:t>
      </w:r>
      <w:r w:rsidR="00EB3861">
        <w:t>Iveta Kočová</w:t>
      </w:r>
      <w:r w:rsidRPr="00B47DD1">
        <w:t xml:space="preserve">, tel: </w:t>
      </w:r>
      <w:r w:rsidR="00EB3861">
        <w:t>+420 222 805 243,</w:t>
      </w:r>
      <w:r w:rsidRPr="00B47DD1">
        <w:t xml:space="preserve"> e-mail: </w:t>
      </w:r>
      <w:r w:rsidR="00EB3861">
        <w:t>iveta.kocova@praha8.cz</w:t>
      </w:r>
      <w:r w:rsidRPr="00B47DD1">
        <w:t>;</w:t>
      </w:r>
    </w:p>
    <w:p w14:paraId="51E16A2A" w14:textId="77777777" w:rsidR="00C632A2" w:rsidRDefault="00C632A2" w:rsidP="00635C14">
      <w:pPr>
        <w:pStyle w:val="Odstavecseseznamem1"/>
        <w:numPr>
          <w:ilvl w:val="0"/>
          <w:numId w:val="25"/>
        </w:numPr>
        <w:jc w:val="both"/>
      </w:pPr>
      <w:r>
        <w:t>za poskytovatele: ………………………………, tel: ………………………………, e-mail: …………………………….</w:t>
      </w:r>
    </w:p>
    <w:p w14:paraId="4FB2B209" w14:textId="77777777" w:rsidR="000B6A3C" w:rsidRDefault="000B6A3C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t>Pokud tato smlouva nestanoví jinak, řídí se právní vztahy jí založené občanským zákoníkem. Nelze-li některé otázky řešit podle těchto ustanovení, použijí se obecně závazné předpisy.</w:t>
      </w:r>
    </w:p>
    <w:p w14:paraId="1564E8E0" w14:textId="77777777" w:rsidR="000B6A3C" w:rsidRDefault="000B6A3C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t>Tuto smlouvu lze měnit a doplňovat jen písemnými dodatky očíslovanými vzestupnou číselnou řadou a podepsanými oprávněnými zástupci obou smluvních stran.</w:t>
      </w:r>
    </w:p>
    <w:p w14:paraId="3E56C4B1" w14:textId="560FAF55" w:rsidR="000B6A3C" w:rsidRDefault="000B6A3C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t xml:space="preserve">Smluvní strany jsou si vědomy, že tato smlouva podléhá povinnému uveřejnění dle zákona </w:t>
      </w:r>
      <w:r>
        <w:br/>
        <w:t>č. 340/2015 Sb., o registru smluv, v platném znění (dále jen „</w:t>
      </w:r>
      <w:r w:rsidRPr="00077FC7">
        <w:rPr>
          <w:b/>
        </w:rPr>
        <w:t>zákon o registru smluv</w:t>
      </w:r>
      <w:r>
        <w:t>“), a</w:t>
      </w:r>
      <w:r w:rsidR="00832119">
        <w:t> </w:t>
      </w:r>
      <w:r>
        <w:t xml:space="preserve">dohodly se, že uveřejnění této smlouvy v registru smluv zajistí objednatel. </w:t>
      </w:r>
      <w:r w:rsidR="00EF234F">
        <w:t>Poskytovatel</w:t>
      </w:r>
      <w:r>
        <w:t xml:space="preserve"> pro</w:t>
      </w:r>
      <w:r w:rsidR="00832119">
        <w:t> </w:t>
      </w:r>
      <w:r>
        <w:t xml:space="preserve">tento účel dává objednateli neodvolatelný souhlas s tím, že objednatel tuto smlouvu a údaje o této smlouvě zveřejnění dle zákona o registru smluv, a to v rozsahu dle úvahy objednatele v souladu se zákonem o registru smluv. </w:t>
      </w:r>
      <w:r w:rsidR="00EF234F">
        <w:t>Poskytovatel</w:t>
      </w:r>
      <w:r>
        <w:t xml:space="preserve"> dále pro tento účel dává objednateli souhlas se zpracováním svých osobních údajů v rozsahu, v jakém je nezbytný pro</w:t>
      </w:r>
      <w:r w:rsidR="00832119">
        <w:t> </w:t>
      </w:r>
      <w:r>
        <w:t>splnění povinnosti uveřejnění t</w:t>
      </w:r>
      <w:r w:rsidR="005130B3">
        <w:t>é</w:t>
      </w:r>
      <w:r>
        <w:t>to smlouvy dle zákona o registru smluv.</w:t>
      </w:r>
    </w:p>
    <w:p w14:paraId="21C49CFC" w14:textId="77777777" w:rsidR="000B6A3C" w:rsidRDefault="000B6A3C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t xml:space="preserve">Tato smlouva je nabývá platnosti podpisem poslední smluvní strany a účinnosti uveřejněním </w:t>
      </w:r>
      <w:r w:rsidR="005130B3">
        <w:t>v </w:t>
      </w:r>
      <w:r>
        <w:t>registru smluv podle zákona o registru smluv.</w:t>
      </w:r>
    </w:p>
    <w:p w14:paraId="0EC72B7E" w14:textId="77777777" w:rsidR="000B6A3C" w:rsidRDefault="000B6A3C" w:rsidP="000B6A3C">
      <w:pPr>
        <w:pStyle w:val="Odstavecseseznamem1"/>
        <w:numPr>
          <w:ilvl w:val="1"/>
          <w:numId w:val="17"/>
        </w:numPr>
        <w:ind w:left="672" w:hanging="672"/>
        <w:jc w:val="both"/>
      </w:pPr>
      <w:r>
        <w:lastRenderedPageBreak/>
        <w:t xml:space="preserve">Tato smlouva se vyhotovuje ve třech stejnopisech, z nichž objednatel obdrží dvě a </w:t>
      </w:r>
      <w:r w:rsidR="00EF234F">
        <w:t>poskytovatel</w:t>
      </w:r>
      <w:r>
        <w:t xml:space="preserve"> jedno vyhotovení.</w:t>
      </w:r>
    </w:p>
    <w:p w14:paraId="09DC403E" w14:textId="77777777" w:rsidR="005130B3" w:rsidRDefault="000B6A3C" w:rsidP="000B6A3C">
      <w:pPr>
        <w:pStyle w:val="Odstavecseseznamem1"/>
        <w:numPr>
          <w:ilvl w:val="1"/>
          <w:numId w:val="17"/>
        </w:numPr>
        <w:spacing w:after="360"/>
        <w:ind w:left="672" w:hanging="672"/>
        <w:jc w:val="both"/>
      </w:pPr>
      <w:r>
        <w:t>Smluvní strany potvrzují, že si tuto smlouvu před jejím podpisem přečetly, porozuměly jejímu obsahu, uzavírají ji svobodně a vážně. Na důkaz toho připojují své níže uvedené podpisy.</w:t>
      </w:r>
    </w:p>
    <w:p w14:paraId="6199383A" w14:textId="77777777" w:rsidR="000B6A3C" w:rsidRDefault="000B6A3C" w:rsidP="005130B3">
      <w:pPr>
        <w:pStyle w:val="Odstavecseseznamem1"/>
        <w:numPr>
          <w:ilvl w:val="1"/>
          <w:numId w:val="17"/>
        </w:numPr>
        <w:spacing w:after="120"/>
        <w:ind w:left="675" w:hanging="675"/>
        <w:contextualSpacing w:val="0"/>
        <w:jc w:val="both"/>
      </w:pPr>
      <w:r>
        <w:t>Nedílnou součástí smlouvy jsou následující přílohy:</w:t>
      </w:r>
    </w:p>
    <w:p w14:paraId="4E0F01A1" w14:textId="77777777" w:rsidR="000B6A3C" w:rsidRDefault="000B6A3C" w:rsidP="005130B3">
      <w:pPr>
        <w:spacing w:after="120"/>
        <w:ind w:left="1276" w:hanging="601"/>
        <w:jc w:val="both"/>
        <w:rPr>
          <w:i/>
        </w:rPr>
      </w:pPr>
      <w:r>
        <w:rPr>
          <w:i/>
        </w:rPr>
        <w:t xml:space="preserve">Příloha č. 1 – </w:t>
      </w:r>
      <w:r w:rsidR="003D3C2C">
        <w:rPr>
          <w:i/>
        </w:rPr>
        <w:t>Ceník služeb</w:t>
      </w:r>
    </w:p>
    <w:p w14:paraId="30BE614B" w14:textId="77777777" w:rsidR="005130B3" w:rsidRDefault="005130B3" w:rsidP="005130B3">
      <w:pPr>
        <w:spacing w:after="0"/>
        <w:jc w:val="both"/>
      </w:pPr>
    </w:p>
    <w:p w14:paraId="12A751FD" w14:textId="77777777" w:rsidR="000B6A3C" w:rsidRDefault="000B6A3C" w:rsidP="000B6A3C">
      <w:pPr>
        <w:spacing w:after="360"/>
        <w:jc w:val="both"/>
      </w:pPr>
      <w:r>
        <w:t>V Praze dne …………………</w:t>
      </w:r>
      <w:r>
        <w:tab/>
      </w:r>
      <w:r>
        <w:tab/>
      </w:r>
      <w:r>
        <w:tab/>
      </w:r>
      <w:r>
        <w:tab/>
        <w:t>V</w:t>
      </w:r>
      <w:r w:rsidR="00CF31EA">
        <w:t> </w:t>
      </w:r>
      <w:r w:rsidR="00B513BD">
        <w:t>…………………</w:t>
      </w:r>
      <w:r w:rsidR="00CF31EA">
        <w:rPr>
          <w:sz w:val="18"/>
          <w:szCs w:val="18"/>
        </w:rPr>
        <w:t xml:space="preserve"> </w:t>
      </w:r>
      <w:r>
        <w:t xml:space="preserve">dne </w:t>
      </w:r>
      <w:r w:rsidR="00CF31EA">
        <w:t>…………………</w:t>
      </w:r>
    </w:p>
    <w:p w14:paraId="38012549" w14:textId="77777777" w:rsidR="000B6A3C" w:rsidRDefault="000B6A3C" w:rsidP="000B6A3C">
      <w:pPr>
        <w:spacing w:after="12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EF234F">
        <w:t>poskytovatel</w:t>
      </w:r>
      <w:r>
        <w:t>e:</w:t>
      </w:r>
    </w:p>
    <w:p w14:paraId="1F003B36" w14:textId="77777777" w:rsidR="000B6A3C" w:rsidRDefault="000B6A3C" w:rsidP="000B6A3C">
      <w:pPr>
        <w:spacing w:after="120"/>
        <w:jc w:val="both"/>
      </w:pPr>
    </w:p>
    <w:p w14:paraId="66EC4A5A" w14:textId="77777777" w:rsidR="00AA6E65" w:rsidRDefault="00AA6E65" w:rsidP="000B6A3C">
      <w:pPr>
        <w:spacing w:after="120"/>
        <w:jc w:val="both"/>
      </w:pPr>
    </w:p>
    <w:p w14:paraId="11ED4054" w14:textId="77777777" w:rsidR="000B6A3C" w:rsidRDefault="000B6A3C" w:rsidP="000B6A3C">
      <w:pPr>
        <w:spacing w:after="12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5C9A3FE" w14:textId="36F5A94B" w:rsidR="00940621" w:rsidRDefault="008425E3" w:rsidP="000B6A3C">
      <w:pPr>
        <w:spacing w:after="0"/>
        <w:jc w:val="both"/>
      </w:pPr>
      <w:r>
        <w:t xml:space="preserve">Mgr. </w:t>
      </w:r>
      <w:bookmarkStart w:id="0" w:name="_GoBack"/>
      <w:bookmarkEnd w:id="0"/>
      <w:r w:rsidR="00B16D5D">
        <w:t>Tomáš Tatranský</w:t>
      </w:r>
      <w:r w:rsidR="00794009">
        <w:t xml:space="preserve">, </w:t>
      </w:r>
      <w:r w:rsidR="00B16D5D">
        <w:t>místo</w:t>
      </w:r>
      <w:r w:rsidR="00794009">
        <w:t>starosta</w:t>
      </w:r>
      <w:r w:rsidR="00B16E6A">
        <w:tab/>
      </w:r>
      <w:r w:rsidR="00794009">
        <w:tab/>
      </w:r>
      <w:r w:rsidR="00794009">
        <w:tab/>
      </w:r>
      <w:r w:rsidR="00B513BD">
        <w:t>…………………………………, …………………………</w:t>
      </w:r>
    </w:p>
    <w:p w14:paraId="33A51A12" w14:textId="77777777" w:rsidR="00077FC7" w:rsidRDefault="000B6A3C" w:rsidP="000B6A3C">
      <w:pPr>
        <w:spacing w:after="0"/>
        <w:jc w:val="both"/>
        <w:rPr>
          <w:rFonts w:cs="Arial"/>
        </w:rPr>
      </w:pPr>
      <w:r>
        <w:tab/>
      </w:r>
      <w:r>
        <w:tab/>
      </w:r>
    </w:p>
    <w:p w14:paraId="5FE5F35D" w14:textId="77777777" w:rsidR="00077FC7" w:rsidRPr="00AF50FC" w:rsidRDefault="00077FC7" w:rsidP="00077FC7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rFonts w:asciiTheme="minorHAnsi" w:hAnsiTheme="minorHAnsi"/>
          <w:b/>
          <w:sz w:val="20"/>
        </w:rPr>
      </w:pPr>
      <w:r w:rsidRPr="00AF50FC">
        <w:rPr>
          <w:rFonts w:asciiTheme="minorHAnsi" w:hAnsiTheme="minorHAnsi"/>
          <w:b/>
          <w:sz w:val="20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14:paraId="13B613ED" w14:textId="77777777" w:rsidR="00077FC7" w:rsidRPr="00AF50FC" w:rsidRDefault="00077FC7" w:rsidP="00AF50FC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0"/>
        <w:jc w:val="both"/>
        <w:rPr>
          <w:rFonts w:asciiTheme="minorHAnsi" w:hAnsiTheme="minorHAnsi"/>
          <w:sz w:val="20"/>
        </w:rPr>
      </w:pPr>
      <w:r w:rsidRPr="00AF50FC">
        <w:rPr>
          <w:rFonts w:asciiTheme="minorHAnsi" w:hAnsiTheme="minorHAnsi"/>
          <w:sz w:val="20"/>
        </w:rPr>
        <w:t>Rozhodnuto orgánem městské části: Rada městské části Praha 8</w:t>
      </w:r>
    </w:p>
    <w:p w14:paraId="4B27161B" w14:textId="77777777" w:rsidR="00B01552" w:rsidRDefault="00077FC7" w:rsidP="005130B3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</w:pPr>
      <w:r w:rsidRPr="00AF50FC">
        <w:rPr>
          <w:rFonts w:asciiTheme="minorHAnsi" w:hAnsiTheme="minorHAnsi"/>
          <w:sz w:val="20"/>
        </w:rPr>
        <w:t>Datum jednání a číslo usnesení: XX</w:t>
      </w:r>
      <w:r w:rsidR="005130B3">
        <w:rPr>
          <w:rFonts w:asciiTheme="minorHAnsi" w:hAnsiTheme="minorHAnsi"/>
          <w:sz w:val="20"/>
        </w:rPr>
        <w:t>. XX. XXXX, č. Usn RMC XXXX/XXXX</w:t>
      </w:r>
    </w:p>
    <w:sectPr w:rsidR="00B01552" w:rsidSect="00BE58E9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9705" w14:textId="77777777" w:rsidR="00235D6C" w:rsidRDefault="00235D6C" w:rsidP="002D0136">
      <w:pPr>
        <w:spacing w:after="0" w:line="240" w:lineRule="auto"/>
      </w:pPr>
      <w:r>
        <w:separator/>
      </w:r>
    </w:p>
  </w:endnote>
  <w:endnote w:type="continuationSeparator" w:id="0">
    <w:p w14:paraId="3BDAB5F5" w14:textId="77777777" w:rsidR="00235D6C" w:rsidRDefault="00235D6C" w:rsidP="002D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77EA" w14:textId="77777777" w:rsidR="00E97924" w:rsidRDefault="00235D6C">
    <w:pPr>
      <w:pStyle w:val="Zpat"/>
      <w:jc w:val="right"/>
    </w:pPr>
  </w:p>
  <w:p w14:paraId="1F482C98" w14:textId="77777777" w:rsidR="00E97924" w:rsidRDefault="00235D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BA66" w14:textId="77777777" w:rsidR="00235D6C" w:rsidRDefault="00235D6C" w:rsidP="002D0136">
      <w:pPr>
        <w:spacing w:after="0" w:line="240" w:lineRule="auto"/>
      </w:pPr>
      <w:r>
        <w:separator/>
      </w:r>
    </w:p>
  </w:footnote>
  <w:footnote w:type="continuationSeparator" w:id="0">
    <w:p w14:paraId="2DDABFE2" w14:textId="77777777" w:rsidR="00235D6C" w:rsidRDefault="00235D6C" w:rsidP="002D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4CD"/>
    <w:multiLevelType w:val="hybridMultilevel"/>
    <w:tmpl w:val="557CD9A8"/>
    <w:lvl w:ilvl="0" w:tplc="0405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033E1BAD"/>
    <w:multiLevelType w:val="hybridMultilevel"/>
    <w:tmpl w:val="D332A9A6"/>
    <w:lvl w:ilvl="0" w:tplc="0000000C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A80B6E"/>
    <w:multiLevelType w:val="multilevel"/>
    <w:tmpl w:val="88326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149A0"/>
    <w:multiLevelType w:val="multilevel"/>
    <w:tmpl w:val="21F149A0"/>
    <w:lvl w:ilvl="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9" w:hanging="360"/>
      </w:pPr>
    </w:lvl>
    <w:lvl w:ilvl="2">
      <w:start w:val="1"/>
      <w:numFmt w:val="lowerRoman"/>
      <w:lvlText w:val="%3."/>
      <w:lvlJc w:val="right"/>
      <w:pPr>
        <w:ind w:left="2469" w:hanging="180"/>
      </w:pPr>
    </w:lvl>
    <w:lvl w:ilvl="3">
      <w:start w:val="1"/>
      <w:numFmt w:val="decimal"/>
      <w:lvlText w:val="%4."/>
      <w:lvlJc w:val="left"/>
      <w:pPr>
        <w:ind w:left="3189" w:hanging="360"/>
      </w:pPr>
    </w:lvl>
    <w:lvl w:ilvl="4">
      <w:start w:val="1"/>
      <w:numFmt w:val="lowerLetter"/>
      <w:lvlText w:val="%5."/>
      <w:lvlJc w:val="left"/>
      <w:pPr>
        <w:ind w:left="3909" w:hanging="360"/>
      </w:pPr>
    </w:lvl>
    <w:lvl w:ilvl="5">
      <w:start w:val="1"/>
      <w:numFmt w:val="lowerRoman"/>
      <w:lvlText w:val="%6."/>
      <w:lvlJc w:val="right"/>
      <w:pPr>
        <w:ind w:left="4629" w:hanging="180"/>
      </w:pPr>
    </w:lvl>
    <w:lvl w:ilvl="6">
      <w:start w:val="1"/>
      <w:numFmt w:val="decimal"/>
      <w:lvlText w:val="%7."/>
      <w:lvlJc w:val="left"/>
      <w:pPr>
        <w:ind w:left="5349" w:hanging="360"/>
      </w:pPr>
    </w:lvl>
    <w:lvl w:ilvl="7">
      <w:start w:val="1"/>
      <w:numFmt w:val="lowerLetter"/>
      <w:lvlText w:val="%8."/>
      <w:lvlJc w:val="left"/>
      <w:pPr>
        <w:ind w:left="6069" w:hanging="360"/>
      </w:pPr>
    </w:lvl>
    <w:lvl w:ilvl="8">
      <w:start w:val="1"/>
      <w:numFmt w:val="lowerRoman"/>
      <w:lvlText w:val="%9."/>
      <w:lvlJc w:val="right"/>
      <w:pPr>
        <w:ind w:left="6789" w:hanging="180"/>
      </w:pPr>
    </w:lvl>
  </w:abstractNum>
  <w:abstractNum w:abstractNumId="4" w15:restartNumberingAfterBreak="0">
    <w:nsid w:val="2FDB1D78"/>
    <w:multiLevelType w:val="multilevel"/>
    <w:tmpl w:val="4E0A3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530E7B"/>
    <w:multiLevelType w:val="multilevel"/>
    <w:tmpl w:val="3C530E7B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04"/>
    <w:multiLevelType w:val="multilevel"/>
    <w:tmpl w:val="421E28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1C3128"/>
    <w:multiLevelType w:val="hybridMultilevel"/>
    <w:tmpl w:val="873A3FAC"/>
    <w:lvl w:ilvl="0" w:tplc="6AB2BCCC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58410DBB"/>
    <w:multiLevelType w:val="multilevel"/>
    <w:tmpl w:val="E3306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410E8B"/>
    <w:multiLevelType w:val="multilevel"/>
    <w:tmpl w:val="BB2E4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410F1B"/>
    <w:multiLevelType w:val="multilevel"/>
    <w:tmpl w:val="08CA8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002873"/>
    <w:multiLevelType w:val="multilevel"/>
    <w:tmpl w:val="7D967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D0BB4F"/>
    <w:multiLevelType w:val="multilevel"/>
    <w:tmpl w:val="CFFC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7.%2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0BCD9"/>
    <w:multiLevelType w:val="multilevel"/>
    <w:tmpl w:val="BDFE5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0BD14"/>
    <w:multiLevelType w:val="multilevel"/>
    <w:tmpl w:val="D126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D0BD48"/>
    <w:multiLevelType w:val="multilevel"/>
    <w:tmpl w:val="9DDC7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D0BD79"/>
    <w:multiLevelType w:val="multilevel"/>
    <w:tmpl w:val="96781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6.%2"/>
      <w:lvlJc w:val="left"/>
      <w:pPr>
        <w:ind w:left="792" w:hanging="432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D0BDBD"/>
    <w:multiLevelType w:val="multilevel"/>
    <w:tmpl w:val="701A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7.%2"/>
      <w:lvlJc w:val="left"/>
      <w:pPr>
        <w:ind w:left="792" w:hanging="432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D0BDF6"/>
    <w:multiLevelType w:val="multilevel"/>
    <w:tmpl w:val="75222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8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D0C188"/>
    <w:multiLevelType w:val="multilevel"/>
    <w:tmpl w:val="59D0C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Calibri" w:eastAsia="SimSun" w:hAnsi="Calibri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D0C1D5"/>
    <w:multiLevelType w:val="multilevel"/>
    <w:tmpl w:val="59D0C1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ascii="Calibri" w:eastAsia="SimSun" w:hAnsi="Calibri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0C348"/>
    <w:multiLevelType w:val="multilevel"/>
    <w:tmpl w:val="59D0C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Calibri" w:eastAsia="SimSun" w:hAnsi="Calibri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D0C52F"/>
    <w:multiLevelType w:val="multilevel"/>
    <w:tmpl w:val="59D0C5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Calibri" w:eastAsia="SimSun" w:hAnsi="Calibri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D0C78C"/>
    <w:multiLevelType w:val="multilevel"/>
    <w:tmpl w:val="59D0C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Calibri" w:eastAsia="SimSun" w:hAnsi="Calibri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010C00"/>
    <w:multiLevelType w:val="multilevel"/>
    <w:tmpl w:val="69010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D7B0C"/>
    <w:multiLevelType w:val="multilevel"/>
    <w:tmpl w:val="749D7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03ED"/>
    <w:multiLevelType w:val="multilevel"/>
    <w:tmpl w:val="7C8A03ED"/>
    <w:lvl w:ilvl="0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6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3C"/>
    <w:rsid w:val="00004A7C"/>
    <w:rsid w:val="000205B5"/>
    <w:rsid w:val="000305D9"/>
    <w:rsid w:val="0005280E"/>
    <w:rsid w:val="00060DB6"/>
    <w:rsid w:val="00077FC7"/>
    <w:rsid w:val="00087E6E"/>
    <w:rsid w:val="000A3322"/>
    <w:rsid w:val="000B1797"/>
    <w:rsid w:val="000B43DD"/>
    <w:rsid w:val="000B6A3C"/>
    <w:rsid w:val="000E16F4"/>
    <w:rsid w:val="001268A9"/>
    <w:rsid w:val="00131CDD"/>
    <w:rsid w:val="001407C4"/>
    <w:rsid w:val="00162758"/>
    <w:rsid w:val="001640C2"/>
    <w:rsid w:val="001710A3"/>
    <w:rsid w:val="001822C3"/>
    <w:rsid w:val="001B499F"/>
    <w:rsid w:val="00212593"/>
    <w:rsid w:val="00215F88"/>
    <w:rsid w:val="00230641"/>
    <w:rsid w:val="00235D6C"/>
    <w:rsid w:val="00266679"/>
    <w:rsid w:val="00270B5E"/>
    <w:rsid w:val="00280534"/>
    <w:rsid w:val="00283467"/>
    <w:rsid w:val="00283917"/>
    <w:rsid w:val="00286938"/>
    <w:rsid w:val="002C15B4"/>
    <w:rsid w:val="002D0136"/>
    <w:rsid w:val="00324DBF"/>
    <w:rsid w:val="00331CF3"/>
    <w:rsid w:val="00337F3D"/>
    <w:rsid w:val="00361B4A"/>
    <w:rsid w:val="00371BD8"/>
    <w:rsid w:val="00393804"/>
    <w:rsid w:val="003C0733"/>
    <w:rsid w:val="003D3C2C"/>
    <w:rsid w:val="00430EEF"/>
    <w:rsid w:val="004406A6"/>
    <w:rsid w:val="004512DD"/>
    <w:rsid w:val="00464853"/>
    <w:rsid w:val="00477D88"/>
    <w:rsid w:val="00497A8F"/>
    <w:rsid w:val="004B79FC"/>
    <w:rsid w:val="004F0458"/>
    <w:rsid w:val="005130B3"/>
    <w:rsid w:val="00513275"/>
    <w:rsid w:val="0053499E"/>
    <w:rsid w:val="00541BC8"/>
    <w:rsid w:val="005563AE"/>
    <w:rsid w:val="00557EC5"/>
    <w:rsid w:val="00574C64"/>
    <w:rsid w:val="00581B9B"/>
    <w:rsid w:val="005957C8"/>
    <w:rsid w:val="005A3D41"/>
    <w:rsid w:val="005C5408"/>
    <w:rsid w:val="005E292F"/>
    <w:rsid w:val="005E3EFE"/>
    <w:rsid w:val="005F5E64"/>
    <w:rsid w:val="006168B2"/>
    <w:rsid w:val="00635C14"/>
    <w:rsid w:val="00641FCD"/>
    <w:rsid w:val="006723D8"/>
    <w:rsid w:val="00676178"/>
    <w:rsid w:val="006961C7"/>
    <w:rsid w:val="00696960"/>
    <w:rsid w:val="006C2908"/>
    <w:rsid w:val="006E106B"/>
    <w:rsid w:val="0074796B"/>
    <w:rsid w:val="00752AE2"/>
    <w:rsid w:val="0077440F"/>
    <w:rsid w:val="00781240"/>
    <w:rsid w:val="00783843"/>
    <w:rsid w:val="00790DA3"/>
    <w:rsid w:val="00794009"/>
    <w:rsid w:val="007D6E82"/>
    <w:rsid w:val="007F7734"/>
    <w:rsid w:val="008055AA"/>
    <w:rsid w:val="00816648"/>
    <w:rsid w:val="0082745A"/>
    <w:rsid w:val="00832119"/>
    <w:rsid w:val="008425E3"/>
    <w:rsid w:val="00856492"/>
    <w:rsid w:val="0086128F"/>
    <w:rsid w:val="008678A8"/>
    <w:rsid w:val="00881B7F"/>
    <w:rsid w:val="008C5845"/>
    <w:rsid w:val="009011F8"/>
    <w:rsid w:val="009213F8"/>
    <w:rsid w:val="009362D2"/>
    <w:rsid w:val="00937004"/>
    <w:rsid w:val="00940621"/>
    <w:rsid w:val="00940790"/>
    <w:rsid w:val="009776AC"/>
    <w:rsid w:val="009B0D98"/>
    <w:rsid w:val="009B38C0"/>
    <w:rsid w:val="009D0181"/>
    <w:rsid w:val="00A150FD"/>
    <w:rsid w:val="00A264A3"/>
    <w:rsid w:val="00A378B2"/>
    <w:rsid w:val="00A53BD9"/>
    <w:rsid w:val="00A60361"/>
    <w:rsid w:val="00A60C81"/>
    <w:rsid w:val="00A73869"/>
    <w:rsid w:val="00A774F2"/>
    <w:rsid w:val="00AA4A8B"/>
    <w:rsid w:val="00AA6E65"/>
    <w:rsid w:val="00AC33BD"/>
    <w:rsid w:val="00AC6B09"/>
    <w:rsid w:val="00AF2B7C"/>
    <w:rsid w:val="00AF50FC"/>
    <w:rsid w:val="00AF7490"/>
    <w:rsid w:val="00B01552"/>
    <w:rsid w:val="00B16D5D"/>
    <w:rsid w:val="00B16E6A"/>
    <w:rsid w:val="00B24E5C"/>
    <w:rsid w:val="00B440D7"/>
    <w:rsid w:val="00B47DD1"/>
    <w:rsid w:val="00B513BD"/>
    <w:rsid w:val="00B54157"/>
    <w:rsid w:val="00B71458"/>
    <w:rsid w:val="00B81A4D"/>
    <w:rsid w:val="00B913F7"/>
    <w:rsid w:val="00BA2A75"/>
    <w:rsid w:val="00BB0E17"/>
    <w:rsid w:val="00BC0CCA"/>
    <w:rsid w:val="00BC2B28"/>
    <w:rsid w:val="00BC5A5B"/>
    <w:rsid w:val="00BD1ABE"/>
    <w:rsid w:val="00BD2799"/>
    <w:rsid w:val="00BD3144"/>
    <w:rsid w:val="00BE5A9A"/>
    <w:rsid w:val="00BF119D"/>
    <w:rsid w:val="00C10FCD"/>
    <w:rsid w:val="00C11569"/>
    <w:rsid w:val="00C13D79"/>
    <w:rsid w:val="00C57944"/>
    <w:rsid w:val="00C6134C"/>
    <w:rsid w:val="00C632A2"/>
    <w:rsid w:val="00C72C75"/>
    <w:rsid w:val="00C80B47"/>
    <w:rsid w:val="00CA18B3"/>
    <w:rsid w:val="00CC6766"/>
    <w:rsid w:val="00CE519D"/>
    <w:rsid w:val="00CF31EA"/>
    <w:rsid w:val="00D01261"/>
    <w:rsid w:val="00D0683C"/>
    <w:rsid w:val="00D52070"/>
    <w:rsid w:val="00D900A5"/>
    <w:rsid w:val="00D91BAF"/>
    <w:rsid w:val="00D92001"/>
    <w:rsid w:val="00DA3119"/>
    <w:rsid w:val="00DB41EE"/>
    <w:rsid w:val="00DC5383"/>
    <w:rsid w:val="00DC7910"/>
    <w:rsid w:val="00DE35A1"/>
    <w:rsid w:val="00DE41AD"/>
    <w:rsid w:val="00DF5136"/>
    <w:rsid w:val="00E37AFF"/>
    <w:rsid w:val="00E42B94"/>
    <w:rsid w:val="00E8131F"/>
    <w:rsid w:val="00E91ACC"/>
    <w:rsid w:val="00EB3861"/>
    <w:rsid w:val="00ED289B"/>
    <w:rsid w:val="00EF234F"/>
    <w:rsid w:val="00EF7391"/>
    <w:rsid w:val="00F10454"/>
    <w:rsid w:val="00F20E6C"/>
    <w:rsid w:val="00F22D7E"/>
    <w:rsid w:val="00F25040"/>
    <w:rsid w:val="00F25D34"/>
    <w:rsid w:val="00F40C58"/>
    <w:rsid w:val="00F503F5"/>
    <w:rsid w:val="00F556D5"/>
    <w:rsid w:val="00F57E97"/>
    <w:rsid w:val="00F8672A"/>
    <w:rsid w:val="00F91829"/>
    <w:rsid w:val="00FA512E"/>
    <w:rsid w:val="00FC3407"/>
    <w:rsid w:val="00FC7218"/>
    <w:rsid w:val="00FF584A"/>
    <w:rsid w:val="00FF5C4E"/>
    <w:rsid w:val="00FF6A4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3B12"/>
  <w15:docId w15:val="{5E912ADC-94D4-4D8E-B61D-61A74CB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134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0B6A3C"/>
    <w:pPr>
      <w:keepNext/>
      <w:keepLines/>
      <w:spacing w:after="240" w:line="240" w:lineRule="auto"/>
      <w:outlineLvl w:val="0"/>
    </w:pPr>
    <w:rPr>
      <w:rFonts w:ascii="Arial" w:eastAsia="Calibri" w:hAnsi="Arial" w:cs="Times New Roman"/>
      <w:b/>
      <w:color w:val="1DA7B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A3C"/>
    <w:rPr>
      <w:rFonts w:ascii="Arial" w:eastAsia="Calibri" w:hAnsi="Arial" w:cs="Times New Roman"/>
      <w:b/>
      <w:color w:val="1DA7B1"/>
      <w:sz w:val="28"/>
      <w:szCs w:val="20"/>
    </w:rPr>
  </w:style>
  <w:style w:type="paragraph" w:customStyle="1" w:styleId="Odstavecseseznamem1">
    <w:name w:val="Odstavec se seznamem1"/>
    <w:basedOn w:val="Normln"/>
    <w:link w:val="OdstavecseseznamemChar"/>
    <w:qFormat/>
    <w:rsid w:val="000B6A3C"/>
    <w:pPr>
      <w:ind w:left="720"/>
      <w:contextualSpacing/>
    </w:pPr>
  </w:style>
  <w:style w:type="character" w:customStyle="1" w:styleId="OdstavecseseznamemChar">
    <w:name w:val="Odstavec se seznamem Char"/>
    <w:link w:val="Odstavecseseznamem1"/>
    <w:rsid w:val="000B6A3C"/>
  </w:style>
  <w:style w:type="paragraph" w:styleId="Zpat">
    <w:name w:val="footer"/>
    <w:basedOn w:val="Normln"/>
    <w:link w:val="ZpatChar"/>
    <w:uiPriority w:val="99"/>
    <w:unhideWhenUsed/>
    <w:rsid w:val="000B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A3C"/>
  </w:style>
  <w:style w:type="paragraph" w:styleId="Odstavecseseznamem">
    <w:name w:val="List Paragraph"/>
    <w:basedOn w:val="Normln"/>
    <w:uiPriority w:val="34"/>
    <w:qFormat/>
    <w:rsid w:val="00077FC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reformatted">
    <w:name w:val="preformatted"/>
    <w:basedOn w:val="Standardnpsmoodstavce"/>
    <w:rsid w:val="005A3D41"/>
  </w:style>
  <w:style w:type="character" w:styleId="Hypertextovodkaz">
    <w:name w:val="Hyperlink"/>
    <w:rsid w:val="00635C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9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Fišer Michal</dc:creator>
  <cp:lastModifiedBy>Markvartová Marie Ing. (P8)</cp:lastModifiedBy>
  <cp:revision>4</cp:revision>
  <cp:lastPrinted>2020-06-25T11:23:00Z</cp:lastPrinted>
  <dcterms:created xsi:type="dcterms:W3CDTF">2020-06-25T11:20:00Z</dcterms:created>
  <dcterms:modified xsi:type="dcterms:W3CDTF">2020-06-25T11:33:00Z</dcterms:modified>
</cp:coreProperties>
</file>